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E6" w:rsidRPr="008F4429" w:rsidRDefault="009535E6" w:rsidP="00763ED7">
      <w:pPr>
        <w:shd w:val="clear" w:color="auto" w:fill="FFFFFF"/>
        <w:spacing w:before="195" w:after="30" w:line="300" w:lineRule="atLeast"/>
        <w:outlineLvl w:val="4"/>
        <w:rPr>
          <w:rFonts w:ascii="Arial" w:hAnsi="Arial" w:cs="Arial"/>
          <w:b/>
          <w:bCs/>
          <w:caps/>
          <w:color w:val="6F6F6F"/>
          <w:sz w:val="21"/>
          <w:szCs w:val="21"/>
          <w:lang w:val="en-US" w:eastAsia="nl-NL"/>
        </w:rPr>
      </w:pPr>
      <w:r w:rsidRPr="008F4429">
        <w:rPr>
          <w:rFonts w:ascii="Arial" w:hAnsi="Arial" w:cs="Arial"/>
          <w:b/>
          <w:bCs/>
          <w:caps/>
          <w:color w:val="6F6F6F"/>
          <w:sz w:val="21"/>
          <w:szCs w:val="21"/>
          <w:lang w:val="en-US" w:eastAsia="nl-NL"/>
        </w:rPr>
        <w:t xml:space="preserve">Paper to be presEnted at the annual meeting of the international asssociation for impact assessment, april 2017, </w:t>
      </w:r>
      <w:smartTag w:uri="urn:schemas-microsoft-com:office:smarttags" w:element="place">
        <w:smartTag w:uri="urn:schemas-microsoft-com:office:smarttags" w:element="City">
          <w:r w:rsidRPr="008F4429">
            <w:rPr>
              <w:rFonts w:ascii="Arial" w:hAnsi="Arial" w:cs="Arial"/>
              <w:b/>
              <w:bCs/>
              <w:caps/>
              <w:color w:val="6F6F6F"/>
              <w:sz w:val="21"/>
              <w:szCs w:val="21"/>
              <w:lang w:val="en-US" w:eastAsia="nl-NL"/>
            </w:rPr>
            <w:t>montreal</w:t>
          </w:r>
        </w:smartTag>
      </w:smartTag>
    </w:p>
    <w:p w:rsidR="009535E6" w:rsidRDefault="009535E6" w:rsidP="00AE5F97">
      <w:pPr>
        <w:shd w:val="clear" w:color="auto" w:fill="FFFFFF"/>
        <w:spacing w:after="210" w:line="300" w:lineRule="atLeast"/>
        <w:outlineLvl w:val="5"/>
        <w:rPr>
          <w:rFonts w:ascii="Arial" w:hAnsi="Arial" w:cs="Arial"/>
          <w:b/>
          <w:bCs/>
          <w:caps/>
          <w:color w:val="6F6F6F"/>
          <w:sz w:val="21"/>
          <w:szCs w:val="21"/>
          <w:lang w:val="en-US" w:eastAsia="nl-NL"/>
        </w:rPr>
      </w:pPr>
    </w:p>
    <w:p w:rsidR="009535E6" w:rsidRPr="008F4429" w:rsidRDefault="009535E6" w:rsidP="00662FA7">
      <w:pPr>
        <w:shd w:val="clear" w:color="auto" w:fill="FFFFFF"/>
        <w:spacing w:before="195" w:after="30" w:line="300" w:lineRule="atLeast"/>
        <w:outlineLvl w:val="4"/>
        <w:rPr>
          <w:rFonts w:ascii="Arial" w:hAnsi="Arial" w:cs="Arial"/>
          <w:b/>
          <w:bCs/>
          <w:caps/>
          <w:color w:val="6F6F6F"/>
          <w:sz w:val="21"/>
          <w:szCs w:val="21"/>
          <w:lang w:val="en-US" w:eastAsia="nl-NL"/>
        </w:rPr>
      </w:pPr>
      <w:r w:rsidRPr="008F4429">
        <w:rPr>
          <w:rFonts w:ascii="Arial" w:hAnsi="Arial" w:cs="Arial"/>
          <w:b/>
          <w:bCs/>
          <w:caps/>
          <w:color w:val="6F6F6F"/>
          <w:sz w:val="21"/>
          <w:szCs w:val="21"/>
          <w:lang w:val="en-US" w:eastAsia="nl-NL"/>
        </w:rPr>
        <w:t>CLIMATE CHANGE AND DEVELOPMENT ASSISTANCE </w:t>
      </w:r>
    </w:p>
    <w:p w:rsidR="009535E6" w:rsidRDefault="009535E6" w:rsidP="00C35A47">
      <w:pPr>
        <w:rPr>
          <w:b/>
          <w:lang w:val="en-US"/>
        </w:rPr>
      </w:pPr>
      <w:r>
        <w:rPr>
          <w:b/>
          <w:lang w:val="en-US"/>
        </w:rPr>
        <w:br/>
      </w:r>
      <w:r w:rsidRPr="007F0DB9">
        <w:rPr>
          <w:b/>
          <w:lang w:val="en-US"/>
        </w:rPr>
        <w:t>Abstract</w:t>
      </w:r>
    </w:p>
    <w:p w:rsidR="009535E6" w:rsidRPr="006E2317" w:rsidRDefault="009535E6" w:rsidP="00C35A47">
      <w:pPr>
        <w:rPr>
          <w:rFonts w:ascii="Verdana" w:hAnsi="Verdana"/>
          <w:i/>
          <w:sz w:val="18"/>
          <w:szCs w:val="18"/>
          <w:lang w:val="en-US"/>
        </w:rPr>
      </w:pPr>
      <w:r w:rsidRPr="006E2317">
        <w:rPr>
          <w:i/>
          <w:lang w:val="en-US"/>
        </w:rPr>
        <w:t xml:space="preserve">In the </w:t>
      </w:r>
      <w:r>
        <w:rPr>
          <w:i/>
          <w:lang w:val="en-US"/>
        </w:rPr>
        <w:t xml:space="preserve">2015 </w:t>
      </w:r>
      <w:smartTag w:uri="urn:schemas-microsoft-com:office:smarttags" w:element="place">
        <w:smartTag w:uri="urn:schemas-microsoft-com:office:smarttags" w:element="City">
          <w:r w:rsidRPr="006E2317">
            <w:rPr>
              <w:i/>
              <w:lang w:val="en-US"/>
            </w:rPr>
            <w:t>Paris</w:t>
          </w:r>
        </w:smartTag>
      </w:smartTag>
      <w:r w:rsidRPr="006E2317">
        <w:rPr>
          <w:i/>
          <w:lang w:val="en-US"/>
        </w:rPr>
        <w:t xml:space="preserve"> Agreement, developed countries reconfirmed their collective goal to assist developing countries in reaching their goals for </w:t>
      </w:r>
      <w:r>
        <w:rPr>
          <w:i/>
          <w:lang w:val="en-US"/>
        </w:rPr>
        <w:t xml:space="preserve">climate change </w:t>
      </w:r>
      <w:r w:rsidRPr="006E2317">
        <w:rPr>
          <w:i/>
          <w:lang w:val="en-US"/>
        </w:rPr>
        <w:t xml:space="preserve">adaptation and mitigation. The </w:t>
      </w:r>
      <w:smartTag w:uri="urn:schemas-microsoft-com:office:smarttags" w:element="place">
        <w:smartTag w:uri="urn:schemas-microsoft-com:office:smarttags" w:element="country-region">
          <w:r w:rsidRPr="006E2317">
            <w:rPr>
              <w:i/>
              <w:lang w:val="en-US"/>
            </w:rPr>
            <w:t>Netherlands</w:t>
          </w:r>
        </w:smartTag>
      </w:smartTag>
      <w:r w:rsidRPr="006E2317">
        <w:rPr>
          <w:i/>
          <w:lang w:val="en-US"/>
        </w:rPr>
        <w:t xml:space="preserve"> is committed to do its share </w:t>
      </w:r>
      <w:r>
        <w:rPr>
          <w:i/>
          <w:lang w:val="en-US"/>
        </w:rPr>
        <w:t xml:space="preserve">as </w:t>
      </w:r>
      <w:r w:rsidRPr="006E2317">
        <w:rPr>
          <w:i/>
          <w:lang w:val="en-US"/>
        </w:rPr>
        <w:t xml:space="preserve">an integral part of its </w:t>
      </w:r>
      <w:r>
        <w:rPr>
          <w:i/>
          <w:lang w:val="en-US"/>
        </w:rPr>
        <w:t>development assistance</w:t>
      </w:r>
      <w:r w:rsidRPr="006E2317">
        <w:rPr>
          <w:i/>
          <w:lang w:val="en-US"/>
        </w:rPr>
        <w:t xml:space="preserve">. This paper describes </w:t>
      </w:r>
      <w:r>
        <w:rPr>
          <w:i/>
          <w:lang w:val="en-US"/>
        </w:rPr>
        <w:t xml:space="preserve">the </w:t>
      </w:r>
      <w:smartTag w:uri="urn:schemas-microsoft-com:office:smarttags" w:element="place">
        <w:smartTag w:uri="urn:schemas-microsoft-com:office:smarttags" w:element="country-region">
          <w:r>
            <w:rPr>
              <w:i/>
              <w:lang w:val="en-US"/>
            </w:rPr>
            <w:t>Netherlands</w:t>
          </w:r>
        </w:smartTag>
      </w:smartTag>
      <w:r>
        <w:rPr>
          <w:i/>
          <w:lang w:val="en-US"/>
        </w:rPr>
        <w:t xml:space="preserve"> actions in integrating climate change in its programmes and contributing to global climate objectives. </w:t>
      </w:r>
    </w:p>
    <w:p w:rsidR="009535E6" w:rsidRDefault="009535E6" w:rsidP="00AE5F97">
      <w:pPr>
        <w:rPr>
          <w:lang w:val="en-US"/>
        </w:rPr>
      </w:pPr>
      <w:r w:rsidRPr="00CE4BDB">
        <w:rPr>
          <w:b/>
          <w:lang w:val="en-US"/>
        </w:rPr>
        <w:t>Introduction</w:t>
      </w:r>
    </w:p>
    <w:p w:rsidR="009535E6" w:rsidRPr="003A54A8" w:rsidRDefault="009535E6" w:rsidP="005E4D38">
      <w:pPr>
        <w:rPr>
          <w:lang w:val="en-US"/>
        </w:rPr>
      </w:pPr>
      <w:r w:rsidRPr="00DF16F7">
        <w:rPr>
          <w:lang w:val="en-US"/>
        </w:rPr>
        <w:t>At the Paris climate conference (COP21) in December 2015, 195 countries set out a global action plan to put the world on track to avoid dangerous climate change by limiting global warming to well below 2°C</w:t>
      </w:r>
      <w:r>
        <w:rPr>
          <w:lang w:val="en-US"/>
        </w:rPr>
        <w:t xml:space="preserve">, to track progress together, to </w:t>
      </w:r>
      <w:r w:rsidRPr="00DF16F7">
        <w:rPr>
          <w:lang w:val="en-US"/>
        </w:rPr>
        <w:t>strengthen societies' ability to deal with the impacts of climate change</w:t>
      </w:r>
      <w:r>
        <w:rPr>
          <w:lang w:val="en-US"/>
        </w:rPr>
        <w:t xml:space="preserve"> and to </w:t>
      </w:r>
      <w:r w:rsidRPr="00DF16F7">
        <w:rPr>
          <w:lang w:val="en-US"/>
        </w:rPr>
        <w:t>provide continued and enhanced international support for adaptation to developing countries</w:t>
      </w:r>
      <w:r>
        <w:rPr>
          <w:lang w:val="en-US"/>
        </w:rPr>
        <w:t xml:space="preserve"> for dealing with its consequences</w:t>
      </w:r>
      <w:r w:rsidRPr="00DF16F7">
        <w:rPr>
          <w:lang w:val="en-US"/>
        </w:rPr>
        <w:t xml:space="preserve">. </w:t>
      </w:r>
      <w:r>
        <w:rPr>
          <w:lang w:val="en-US"/>
        </w:rPr>
        <w:t>To put such commitments into practice, d</w:t>
      </w:r>
      <w:r w:rsidRPr="00DF16F7">
        <w:rPr>
          <w:lang w:val="en-US"/>
        </w:rPr>
        <w:t xml:space="preserve">eveloped countries intend to continue their existing collective goal to mobilize USD 100 billion per year by 2020 </w:t>
      </w:r>
      <w:r>
        <w:rPr>
          <w:lang w:val="en-US"/>
        </w:rPr>
        <w:t xml:space="preserve">to support developing countries, </w:t>
      </w:r>
      <w:r w:rsidRPr="00DF16F7">
        <w:rPr>
          <w:lang w:val="en-US"/>
        </w:rPr>
        <w:t xml:space="preserve">and </w:t>
      </w:r>
      <w:r>
        <w:rPr>
          <w:lang w:val="en-US"/>
        </w:rPr>
        <w:t>agreed to continue to mobilize finance at this level until 2025</w:t>
      </w:r>
      <w:r w:rsidRPr="00DF16F7">
        <w:rPr>
          <w:lang w:val="en-US"/>
        </w:rPr>
        <w:t>.</w:t>
      </w:r>
      <w:r>
        <w:rPr>
          <w:lang w:val="en-US"/>
        </w:rPr>
        <w:t xml:space="preserve"> This paper describes the Dutch approach in dealing with climate change as a complex development policy problem and ends with a d</w:t>
      </w:r>
      <w:r w:rsidRPr="003A54A8">
        <w:rPr>
          <w:lang w:val="en-US"/>
        </w:rPr>
        <w:t>iscussion</w:t>
      </w:r>
      <w:r>
        <w:rPr>
          <w:lang w:val="en-US"/>
        </w:rPr>
        <w:t xml:space="preserve"> on moving forward. It first describes climate change as a complex policy issue, and then continues to explain how The </w:t>
      </w:r>
      <w:smartTag w:uri="urn:schemas-microsoft-com:office:smarttags" w:element="place">
        <w:smartTag w:uri="urn:schemas-microsoft-com:office:smarttags" w:element="country-region">
          <w:r>
            <w:rPr>
              <w:lang w:val="en-US"/>
            </w:rPr>
            <w:t>Netherlands</w:t>
          </w:r>
        </w:smartTag>
      </w:smartTag>
      <w:r>
        <w:rPr>
          <w:lang w:val="en-US"/>
        </w:rPr>
        <w:t xml:space="preserve"> has integrated it into sectors that are relevant to the problem. Potentially effective tools are described, including Impact Assessment.</w:t>
      </w:r>
    </w:p>
    <w:p w:rsidR="009535E6" w:rsidRPr="00517CE0" w:rsidRDefault="009535E6" w:rsidP="00F501DD">
      <w:pPr>
        <w:rPr>
          <w:b/>
          <w:lang w:val="en-US"/>
        </w:rPr>
      </w:pPr>
      <w:r w:rsidRPr="00517CE0">
        <w:rPr>
          <w:b/>
          <w:lang w:val="en-US"/>
        </w:rPr>
        <w:t xml:space="preserve">Climate change as </w:t>
      </w:r>
      <w:r>
        <w:rPr>
          <w:b/>
          <w:lang w:val="en-US"/>
        </w:rPr>
        <w:t xml:space="preserve">policy </w:t>
      </w:r>
      <w:r w:rsidRPr="00517CE0">
        <w:rPr>
          <w:b/>
          <w:lang w:val="en-US"/>
        </w:rPr>
        <w:t>problem</w:t>
      </w:r>
    </w:p>
    <w:p w:rsidR="009535E6" w:rsidRDefault="009535E6" w:rsidP="00FB3A1F">
      <w:pPr>
        <w:rPr>
          <w:lang w:val="en-US"/>
        </w:rPr>
      </w:pPr>
      <w:r w:rsidRPr="00262D9C">
        <w:rPr>
          <w:lang w:val="en-US"/>
        </w:rPr>
        <w:t xml:space="preserve">The challenge is </w:t>
      </w:r>
      <w:r>
        <w:rPr>
          <w:lang w:val="en-US"/>
        </w:rPr>
        <w:t xml:space="preserve">to </w:t>
      </w:r>
      <w:r w:rsidRPr="00262D9C">
        <w:rPr>
          <w:lang w:val="en-US"/>
        </w:rPr>
        <w:t>meet commitments on the input side (dollars) as well as on the impact side (climate change mitigation and adaptation).</w:t>
      </w:r>
      <w:r>
        <w:rPr>
          <w:lang w:val="en-US"/>
        </w:rPr>
        <w:t xml:space="preserve"> Effective response to climate change mitigation and adaptation </w:t>
      </w:r>
      <w:r w:rsidRPr="00262D9C">
        <w:rPr>
          <w:lang w:val="en-US"/>
        </w:rPr>
        <w:t>depend</w:t>
      </w:r>
      <w:r>
        <w:rPr>
          <w:lang w:val="en-US"/>
        </w:rPr>
        <w:t>s</w:t>
      </w:r>
      <w:r w:rsidRPr="00262D9C">
        <w:rPr>
          <w:lang w:val="en-US"/>
        </w:rPr>
        <w:t xml:space="preserve"> on sectoral transformations or</w:t>
      </w:r>
      <w:r>
        <w:rPr>
          <w:lang w:val="en-US"/>
        </w:rPr>
        <w:t>,</w:t>
      </w:r>
      <w:r w:rsidRPr="00262D9C">
        <w:rPr>
          <w:lang w:val="en-US"/>
        </w:rPr>
        <w:t xml:space="preserve"> even </w:t>
      </w:r>
      <w:r>
        <w:rPr>
          <w:lang w:val="en-US"/>
        </w:rPr>
        <w:t xml:space="preserve">more complex, </w:t>
      </w:r>
      <w:r w:rsidRPr="00262D9C">
        <w:rPr>
          <w:lang w:val="en-US"/>
        </w:rPr>
        <w:t>societal transitions</w:t>
      </w:r>
      <w:r>
        <w:rPr>
          <w:lang w:val="en-US"/>
        </w:rPr>
        <w:t xml:space="preserve"> for both developed and developing countries. There is an emerging </w:t>
      </w:r>
      <w:r w:rsidRPr="00FB3A1F">
        <w:rPr>
          <w:lang w:val="en-US"/>
        </w:rPr>
        <w:t>literature examining the</w:t>
      </w:r>
      <w:r>
        <w:rPr>
          <w:lang w:val="en-US"/>
        </w:rPr>
        <w:t xml:space="preserve"> </w:t>
      </w:r>
      <w:r w:rsidRPr="00FB3A1F">
        <w:rPr>
          <w:lang w:val="en-US"/>
        </w:rPr>
        <w:t xml:space="preserve">numerous interdependencies, linkages and spill-overs that exist among complex </w:t>
      </w:r>
      <w:r>
        <w:rPr>
          <w:lang w:val="en-US"/>
        </w:rPr>
        <w:t xml:space="preserve">(and climate-influenced) </w:t>
      </w:r>
      <w:r w:rsidRPr="00FB3A1F">
        <w:rPr>
          <w:lang w:val="en-US"/>
        </w:rPr>
        <w:t>energy, food</w:t>
      </w:r>
      <w:r>
        <w:rPr>
          <w:lang w:val="en-US"/>
        </w:rPr>
        <w:t xml:space="preserve"> </w:t>
      </w:r>
      <w:r w:rsidRPr="00FB3A1F">
        <w:rPr>
          <w:lang w:val="en-US"/>
        </w:rPr>
        <w:t>and water systems</w:t>
      </w:r>
      <w:r>
        <w:rPr>
          <w:lang w:val="en-US"/>
        </w:rPr>
        <w:t xml:space="preserve"> (</w:t>
      </w:r>
      <w:r w:rsidRPr="00FB3A1F">
        <w:rPr>
          <w:lang w:val="en-US"/>
        </w:rPr>
        <w:t>‘nexus’</w:t>
      </w:r>
      <w:r>
        <w:rPr>
          <w:lang w:val="en-US"/>
        </w:rPr>
        <w:t>)</w:t>
      </w:r>
      <w:r w:rsidRPr="00FB3A1F">
        <w:rPr>
          <w:lang w:val="en-US"/>
        </w:rPr>
        <w:t>, imply</w:t>
      </w:r>
      <w:r>
        <w:rPr>
          <w:lang w:val="en-US"/>
        </w:rPr>
        <w:t>ing</w:t>
      </w:r>
      <w:r w:rsidRPr="00FB3A1F">
        <w:rPr>
          <w:lang w:val="en-US"/>
        </w:rPr>
        <w:t xml:space="preserve"> that the</w:t>
      </w:r>
      <w:r>
        <w:rPr>
          <w:lang w:val="en-US"/>
        </w:rPr>
        <w:t xml:space="preserve"> </w:t>
      </w:r>
      <w:r w:rsidRPr="00FB3A1F">
        <w:rPr>
          <w:lang w:val="en-US"/>
        </w:rPr>
        <w:t>governance of these systems should be conducted in an integrated manner that seeks to</w:t>
      </w:r>
      <w:r>
        <w:rPr>
          <w:lang w:val="en-US"/>
        </w:rPr>
        <w:t xml:space="preserve"> </w:t>
      </w:r>
      <w:r w:rsidRPr="00FB3A1F">
        <w:rPr>
          <w:lang w:val="en-US"/>
        </w:rPr>
        <w:t>minimize trade-offs and maximize synergies</w:t>
      </w:r>
      <w:r>
        <w:rPr>
          <w:lang w:val="en-US"/>
        </w:rPr>
        <w:t xml:space="preserve"> </w:t>
      </w:r>
      <w:hyperlink r:id="rId7" w:history="1">
        <w:r w:rsidRPr="00FB3A1F">
          <w:rPr>
            <w:rStyle w:val="Hyperlink"/>
            <w:lang w:val="en-US"/>
          </w:rPr>
          <w:t>Wakeford et al (2016</w:t>
        </w:r>
      </w:hyperlink>
      <w:r w:rsidRPr="00FB3A1F">
        <w:rPr>
          <w:rStyle w:val="Hyperlink"/>
          <w:lang w:val="en-US"/>
        </w:rPr>
        <w:t>)</w:t>
      </w:r>
      <w:r>
        <w:rPr>
          <w:rStyle w:val="Hyperlink"/>
          <w:lang w:val="en-US"/>
        </w:rPr>
        <w:t>.</w:t>
      </w:r>
      <w:r w:rsidRPr="00FB3A1F">
        <w:t xml:space="preserve"> </w:t>
      </w:r>
      <w:r>
        <w:t xml:space="preserve">Myriad interventions </w:t>
      </w:r>
      <w:r w:rsidRPr="00FB3A1F">
        <w:t xml:space="preserve">are </w:t>
      </w:r>
      <w:r w:rsidRPr="00FB3A1F">
        <w:rPr>
          <w:lang w:val="en-US"/>
        </w:rPr>
        <w:t>required</w:t>
      </w:r>
      <w:r>
        <w:rPr>
          <w:lang w:val="en-US"/>
        </w:rPr>
        <w:t xml:space="preserve">, from redesigning of institutions to promoting gender equality (e.g. </w:t>
      </w:r>
      <w:r>
        <w:rPr>
          <w:rStyle w:val="Hyperlink"/>
          <w:lang w:val="en-US"/>
        </w:rPr>
        <w:t xml:space="preserve">(Termeer et al., 2016; </w:t>
      </w:r>
      <w:hyperlink r:id="rId8" w:history="1">
        <w:r w:rsidRPr="006E5545">
          <w:rPr>
            <w:rStyle w:val="Hyperlink"/>
            <w:lang w:val="en-US"/>
          </w:rPr>
          <w:t>Gupta et al.</w:t>
        </w:r>
        <w:r>
          <w:rPr>
            <w:rStyle w:val="Hyperlink"/>
            <w:lang w:val="en-US"/>
          </w:rPr>
          <w:t>,</w:t>
        </w:r>
        <w:r w:rsidRPr="006E5545">
          <w:rPr>
            <w:rStyle w:val="Hyperlink"/>
            <w:lang w:val="en-US"/>
          </w:rPr>
          <w:t xml:space="preserve"> 2010</w:t>
        </w:r>
      </w:hyperlink>
      <w:r>
        <w:rPr>
          <w:lang w:val="en-US"/>
        </w:rPr>
        <w:t xml:space="preserve">). </w:t>
      </w:r>
      <w:hyperlink r:id="rId9" w:history="1">
        <w:r w:rsidRPr="00FB3A1F">
          <w:rPr>
            <w:rStyle w:val="Hyperlink"/>
            <w:lang w:val="en-US"/>
          </w:rPr>
          <w:t>Mazzucato</w:t>
        </w:r>
      </w:hyperlink>
      <w:r w:rsidRPr="00FB3A1F">
        <w:rPr>
          <w:lang w:val="en-US"/>
        </w:rPr>
        <w:t xml:space="preserve"> (2016)</w:t>
      </w:r>
      <w:r>
        <w:rPr>
          <w:lang w:val="en-US"/>
        </w:rPr>
        <w:t xml:space="preserve"> asserts </w:t>
      </w:r>
      <w:r w:rsidRPr="00FB3A1F">
        <w:rPr>
          <w:lang w:val="en-US"/>
        </w:rPr>
        <w:t xml:space="preserve">that the required sustainable </w:t>
      </w:r>
      <w:r>
        <w:rPr>
          <w:lang w:val="en-US"/>
        </w:rPr>
        <w:t xml:space="preserve">transformations </w:t>
      </w:r>
      <w:r w:rsidRPr="00FB3A1F">
        <w:rPr>
          <w:lang w:val="en-US"/>
        </w:rPr>
        <w:t>depend on new markets, created by governments in a public-private governance process</w:t>
      </w:r>
      <w:r>
        <w:rPr>
          <w:lang w:val="en-US"/>
        </w:rPr>
        <w:t xml:space="preserve">. </w:t>
      </w:r>
    </w:p>
    <w:p w:rsidR="009535E6" w:rsidRDefault="009535E6" w:rsidP="00262D9C">
      <w:pPr>
        <w:rPr>
          <w:lang w:val="en-US"/>
        </w:rPr>
      </w:pPr>
      <w:r>
        <w:rPr>
          <w:lang w:val="en-US"/>
        </w:rPr>
        <w:t>Proposed development and climate s</w:t>
      </w:r>
      <w:r w:rsidRPr="00262D9C">
        <w:rPr>
          <w:lang w:val="en-US"/>
        </w:rPr>
        <w:t xml:space="preserve">olutions </w:t>
      </w:r>
      <w:r>
        <w:rPr>
          <w:lang w:val="en-US"/>
        </w:rPr>
        <w:t>may fail to meet the long-term climate challenges</w:t>
      </w:r>
      <w:r w:rsidRPr="00262D9C">
        <w:rPr>
          <w:lang w:val="en-US"/>
        </w:rPr>
        <w:t xml:space="preserve">. For example, </w:t>
      </w:r>
      <w:r>
        <w:rPr>
          <w:lang w:val="en-US"/>
        </w:rPr>
        <w:t xml:space="preserve">hydropower is commonly considered a renewable energy alternative to high GHG emission fossil fuel based energy. However, the large dams that generate hydropower are increasingly being called into question not only for the social, environmental and economic risks they create, but also because of their vulnerability to climate-related drought and GHG emissions. </w:t>
      </w:r>
      <w:r w:rsidRPr="00262D9C">
        <w:rPr>
          <w:lang w:val="en-US"/>
        </w:rPr>
        <w:t xml:space="preserve">New, proactive forms of </w:t>
      </w:r>
      <w:hyperlink r:id="rId10" w:history="1">
        <w:r w:rsidRPr="003F6174">
          <w:t xml:space="preserve">impact assessment create </w:t>
        </w:r>
        <w:r>
          <w:t xml:space="preserve">a </w:t>
        </w:r>
        <w:r w:rsidRPr="003F6174">
          <w:t>financer’s dilemma</w:t>
        </w:r>
        <w:r>
          <w:t xml:space="preserve">: either proceed with available proposals for shorter-term benefits with long-term risks, or first require that proponents get their governance in order – i.e. adopt a nexus approach, leading to transparent and informed strategic decisions </w:t>
        </w:r>
      </w:hyperlink>
      <w:r w:rsidRPr="003F6174">
        <w:t xml:space="preserve"> </w:t>
      </w:r>
      <w:r>
        <w:rPr>
          <w:rStyle w:val="Hyperlink"/>
          <w:lang w:val="en-US"/>
        </w:rPr>
        <w:t>(DSU, 2016a)</w:t>
      </w:r>
      <w:r w:rsidRPr="00262D9C">
        <w:rPr>
          <w:lang w:val="en-US"/>
        </w:rPr>
        <w:t xml:space="preserve">. </w:t>
      </w:r>
    </w:p>
    <w:p w:rsidR="009535E6" w:rsidRPr="00262D9C" w:rsidRDefault="009535E6" w:rsidP="00262D9C">
      <w:pPr>
        <w:rPr>
          <w:lang w:val="en-US"/>
        </w:rPr>
      </w:pPr>
      <w:r w:rsidRPr="00D73796">
        <w:rPr>
          <w:lang w:val="en-US"/>
        </w:rPr>
        <w:t xml:space="preserve">The Paris Agreement </w:t>
      </w:r>
      <w:r>
        <w:rPr>
          <w:lang w:val="en-US"/>
        </w:rPr>
        <w:t>encourages</w:t>
      </w:r>
      <w:r w:rsidRPr="00D73796">
        <w:rPr>
          <w:lang w:val="en-US"/>
        </w:rPr>
        <w:t xml:space="preserve"> subscribing states to commit to </w:t>
      </w:r>
      <w:r>
        <w:rPr>
          <w:lang w:val="en-US"/>
        </w:rPr>
        <w:t>Nationally Determined Contributions (NDCs)</w:t>
      </w:r>
      <w:r w:rsidRPr="00D73796">
        <w:rPr>
          <w:lang w:val="en-US"/>
        </w:rPr>
        <w:t>, and to</w:t>
      </w:r>
      <w:r>
        <w:rPr>
          <w:lang w:val="en-US"/>
        </w:rPr>
        <w:t xml:space="preserve"> collaboratively </w:t>
      </w:r>
      <w:r w:rsidRPr="00D73796">
        <w:rPr>
          <w:lang w:val="en-US"/>
        </w:rPr>
        <w:t xml:space="preserve">implement </w:t>
      </w:r>
      <w:r>
        <w:rPr>
          <w:lang w:val="en-US"/>
        </w:rPr>
        <w:t>the proposed climate actions for adaptation and mitigation</w:t>
      </w:r>
      <w:r w:rsidRPr="00D73796">
        <w:rPr>
          <w:lang w:val="en-US"/>
        </w:rPr>
        <w:t xml:space="preserve"> (see </w:t>
      </w:r>
      <w:hyperlink r:id="rId11" w:history="1">
        <w:r w:rsidRPr="00D73796">
          <w:rPr>
            <w:rStyle w:val="Hyperlink"/>
            <w:lang w:val="en-US"/>
          </w:rPr>
          <w:t>the readiness programme of the Green Climate Fund</w:t>
        </w:r>
      </w:hyperlink>
      <w:r w:rsidRPr="00D73796">
        <w:rPr>
          <w:lang w:val="en-US"/>
        </w:rPr>
        <w:t xml:space="preserve">, GCF). </w:t>
      </w:r>
      <w:r w:rsidRPr="00262D9C">
        <w:rPr>
          <w:lang w:val="en-US"/>
        </w:rPr>
        <w:t xml:space="preserve">Climate change units </w:t>
      </w:r>
      <w:r>
        <w:rPr>
          <w:lang w:val="en-US"/>
        </w:rPr>
        <w:t>within the government may be tasked</w:t>
      </w:r>
      <w:r w:rsidRPr="00262D9C">
        <w:rPr>
          <w:lang w:val="en-US"/>
        </w:rPr>
        <w:t xml:space="preserve"> to mainstream (integrate) </w:t>
      </w:r>
      <w:r>
        <w:rPr>
          <w:lang w:val="en-US"/>
        </w:rPr>
        <w:t>climate change into relevant ministries’ development plans and programmes</w:t>
      </w:r>
      <w:r w:rsidRPr="00262D9C">
        <w:rPr>
          <w:lang w:val="en-US"/>
        </w:rPr>
        <w:t xml:space="preserve">. </w:t>
      </w:r>
      <w:r>
        <w:rPr>
          <w:lang w:val="en-US"/>
        </w:rPr>
        <w:t>F</w:t>
      </w:r>
      <w:r w:rsidRPr="00D73796">
        <w:rPr>
          <w:lang w:val="en-US"/>
        </w:rPr>
        <w:t xml:space="preserve">orms of impact assessment are one way to stimulate inter-agency cooperation </w:t>
      </w:r>
      <w:r>
        <w:rPr>
          <w:lang w:val="en-US"/>
        </w:rPr>
        <w:t xml:space="preserve">in mainstreaming climate change </w:t>
      </w:r>
      <w:r w:rsidRPr="00D73796">
        <w:rPr>
          <w:lang w:val="en-US"/>
        </w:rPr>
        <w:t xml:space="preserve">(e.g. </w:t>
      </w:r>
      <w:hyperlink r:id="rId12" w:history="1">
        <w:r w:rsidRPr="00D73796">
          <w:rPr>
            <w:rStyle w:val="Hyperlink"/>
            <w:lang w:val="en-US"/>
          </w:rPr>
          <w:t xml:space="preserve"> EU</w:t>
        </w:r>
      </w:hyperlink>
      <w:r>
        <w:rPr>
          <w:rStyle w:val="Hyperlink"/>
          <w:lang w:val="en-US"/>
        </w:rPr>
        <w:t>, 2016</w:t>
      </w:r>
      <w:r w:rsidRPr="00D73796">
        <w:rPr>
          <w:lang w:val="en-US"/>
        </w:rPr>
        <w:t>).</w:t>
      </w:r>
      <w:r>
        <w:rPr>
          <w:lang w:val="en-US"/>
        </w:rPr>
        <w:t xml:space="preserve"> </w:t>
      </w:r>
      <w:r w:rsidRPr="00262D9C">
        <w:rPr>
          <w:lang w:val="en-US"/>
        </w:rPr>
        <w:t xml:space="preserve">However, </w:t>
      </w:r>
      <w:r>
        <w:rPr>
          <w:lang w:val="en-US"/>
        </w:rPr>
        <w:t xml:space="preserve">climate change units (and environment ministries) have relatively little authority or budget to enforce climate mainstreaming or monitor results </w:t>
      </w:r>
      <w:r w:rsidRPr="00262D9C">
        <w:rPr>
          <w:lang w:val="en-US"/>
        </w:rPr>
        <w:t>(e.g. Howes et al</w:t>
      </w:r>
      <w:r>
        <w:rPr>
          <w:lang w:val="en-US"/>
        </w:rPr>
        <w:t>.,</w:t>
      </w:r>
      <w:r w:rsidRPr="00262D9C">
        <w:rPr>
          <w:lang w:val="en-US"/>
        </w:rPr>
        <w:t xml:space="preserve"> 2015).</w:t>
      </w:r>
    </w:p>
    <w:p w:rsidR="009535E6" w:rsidRPr="00517CE0" w:rsidRDefault="009535E6" w:rsidP="00517CE0">
      <w:pPr>
        <w:rPr>
          <w:b/>
          <w:lang w:val="en-US"/>
        </w:rPr>
      </w:pPr>
      <w:r w:rsidRPr="00517CE0">
        <w:rPr>
          <w:b/>
          <w:lang w:val="en-US"/>
        </w:rPr>
        <w:t xml:space="preserve">The </w:t>
      </w:r>
      <w:r>
        <w:rPr>
          <w:b/>
          <w:lang w:val="en-US"/>
        </w:rPr>
        <w:t xml:space="preserve">Dutch </w:t>
      </w:r>
      <w:r w:rsidRPr="00517CE0">
        <w:rPr>
          <w:b/>
          <w:lang w:val="en-US"/>
        </w:rPr>
        <w:t>approach</w:t>
      </w:r>
    </w:p>
    <w:p w:rsidR="009535E6" w:rsidRDefault="009535E6" w:rsidP="00262D9C">
      <w:pPr>
        <w:rPr>
          <w:lang w:val="en-US"/>
        </w:rPr>
      </w:pPr>
      <w:r>
        <w:rPr>
          <w:lang w:val="en-US"/>
        </w:rPr>
        <w:t xml:space="preserve">The Dutch ‘fair share’ of the developed country Parties contribution to climate finance is estimated by the </w:t>
      </w:r>
      <w:smartTag w:uri="urn:schemas-microsoft-com:office:smarttags" w:element="place">
        <w:smartTag w:uri="urn:schemas-microsoft-com:office:smarttags" w:element="country-region">
          <w:r>
            <w:rPr>
              <w:lang w:val="en-US"/>
            </w:rPr>
            <w:t>Netherlands</w:t>
          </w:r>
        </w:smartTag>
      </w:smartTag>
      <w:r>
        <w:rPr>
          <w:lang w:val="en-US"/>
        </w:rPr>
        <w:t xml:space="preserve"> national court of audit to be up to </w:t>
      </w:r>
      <w:r>
        <w:rPr>
          <w:rFonts w:cs="Calibri"/>
          <w:lang w:val="en-US"/>
        </w:rPr>
        <w:t>€</w:t>
      </w:r>
      <w:r w:rsidRPr="00262D9C">
        <w:rPr>
          <w:lang w:val="en-US"/>
        </w:rPr>
        <w:t>1.2 billion in 2020</w:t>
      </w:r>
      <w:r>
        <w:rPr>
          <w:lang w:val="en-US"/>
        </w:rPr>
        <w:t xml:space="preserve">. </w:t>
      </w:r>
      <w:r w:rsidRPr="00262D9C">
        <w:rPr>
          <w:lang w:val="en-US"/>
        </w:rPr>
        <w:t xml:space="preserve">The </w:t>
      </w:r>
      <w:smartTag w:uri="urn:schemas-microsoft-com:office:smarttags" w:element="place">
        <w:smartTag w:uri="urn:schemas-microsoft-com:office:smarttags" w:element="country-region">
          <w:r>
            <w:rPr>
              <w:lang w:val="en-US"/>
            </w:rPr>
            <w:t>Netherlands</w:t>
          </w:r>
        </w:smartTag>
      </w:smartTag>
      <w:r>
        <w:rPr>
          <w:lang w:val="en-US"/>
        </w:rPr>
        <w:t>’ policy is to integrate climate action into its development policies and activities aiming to increase resilience. It intends to do so by reducing vulnerability and adapting to the potential impacts of climate change, lowering GHG, and reducing disaster risks. It refers to this approach as ‘climate-smart’ development. Dutch climate finance is from public finance, the Dutch official development assistance (ODA), and from private sector climate finance.</w:t>
      </w:r>
    </w:p>
    <w:p w:rsidR="009535E6" w:rsidRPr="00262D9C" w:rsidRDefault="009535E6" w:rsidP="00262D9C">
      <w:pPr>
        <w:rPr>
          <w:lang w:val="en-US"/>
        </w:rPr>
      </w:pPr>
      <w:r w:rsidRPr="00262D9C">
        <w:rPr>
          <w:lang w:val="en-US"/>
        </w:rPr>
        <w:t xml:space="preserve">The </w:t>
      </w:r>
      <w:r>
        <w:rPr>
          <w:lang w:val="en-US"/>
        </w:rPr>
        <w:t>M</w:t>
      </w:r>
      <w:r w:rsidRPr="00262D9C">
        <w:rPr>
          <w:lang w:val="en-US"/>
        </w:rPr>
        <w:t>inistry</w:t>
      </w:r>
      <w:r>
        <w:rPr>
          <w:lang w:val="en-US"/>
        </w:rPr>
        <w:t xml:space="preserve">’s climate team took the lead in the </w:t>
      </w:r>
      <w:r w:rsidRPr="00262D9C">
        <w:rPr>
          <w:lang w:val="en-US"/>
        </w:rPr>
        <w:t xml:space="preserve">mainstreaming efforts </w:t>
      </w:r>
      <w:r>
        <w:rPr>
          <w:lang w:val="en-US"/>
        </w:rPr>
        <w:t xml:space="preserve">and focused on assisting the embassies and central departments that are </w:t>
      </w:r>
      <w:r w:rsidRPr="00262D9C">
        <w:rPr>
          <w:lang w:val="en-US"/>
        </w:rPr>
        <w:t xml:space="preserve">responsible </w:t>
      </w:r>
      <w:r>
        <w:rPr>
          <w:lang w:val="en-US"/>
        </w:rPr>
        <w:t>for</w:t>
      </w:r>
      <w:r w:rsidRPr="00262D9C">
        <w:rPr>
          <w:lang w:val="en-US"/>
        </w:rPr>
        <w:t xml:space="preserve"> </w:t>
      </w:r>
      <w:r>
        <w:rPr>
          <w:lang w:val="en-US"/>
        </w:rPr>
        <w:t xml:space="preserve">programs related to </w:t>
      </w:r>
      <w:r w:rsidRPr="00262D9C">
        <w:rPr>
          <w:lang w:val="en-US"/>
        </w:rPr>
        <w:t>food security, water management, security and rule of law, and private sector development.</w:t>
      </w:r>
      <w:r>
        <w:rPr>
          <w:lang w:val="en-US"/>
        </w:rPr>
        <w:t xml:space="preserve"> Most ODA is centrally managed from </w:t>
      </w:r>
      <w:smartTag w:uri="urn:schemas-microsoft-com:office:smarttags" w:element="place">
        <w:smartTag w:uri="urn:schemas-microsoft-com:office:smarttags" w:element="City">
          <w:r>
            <w:rPr>
              <w:lang w:val="en-US"/>
            </w:rPr>
            <w:t>The Hague</w:t>
          </w:r>
        </w:smartTag>
      </w:smartTag>
      <w:r>
        <w:rPr>
          <w:lang w:val="en-US"/>
        </w:rPr>
        <w:t xml:space="preserve">. However, the </w:t>
      </w:r>
      <w:smartTag w:uri="urn:schemas-microsoft-com:office:smarttags" w:element="country-region">
        <w:r>
          <w:rPr>
            <w:lang w:val="en-US"/>
          </w:rPr>
          <w:t>Netherlands</w:t>
        </w:r>
      </w:smartTag>
      <w:r>
        <w:rPr>
          <w:lang w:val="en-US"/>
        </w:rPr>
        <w:t xml:space="preserve"> also works with 15 partner countries, of which 10 in sub-Sahara </w:t>
      </w:r>
      <w:smartTag w:uri="urn:schemas-microsoft-com:office:smarttags" w:element="place">
        <w:r>
          <w:rPr>
            <w:lang w:val="en-US"/>
          </w:rPr>
          <w:t>Africa</w:t>
        </w:r>
      </w:smartTag>
      <w:r>
        <w:rPr>
          <w:lang w:val="en-US"/>
        </w:rPr>
        <w:t>, where embassies manage significant bilateral programmes that support the priority themes. It was recognized that embassies and departments lacked technical climate k</w:t>
      </w:r>
      <w:r w:rsidRPr="00262D9C">
        <w:rPr>
          <w:lang w:val="en-US"/>
        </w:rPr>
        <w:t xml:space="preserve">nowledge </w:t>
      </w:r>
      <w:r>
        <w:rPr>
          <w:lang w:val="en-US"/>
        </w:rPr>
        <w:t xml:space="preserve">and information and that there had not been comprehensive reporting on climate change results or climate finance contribution. It was also recognized that since there were programmes already in place, the integration of climate change would initially focus on on-going initiatives and set the groundwork for future programming. Efforts were also made to address the [inaccurate] perception by program managers (e.g. heads of food security or water programmes) - that climate change was yet another administrative hoop to jump through with little relation to the development results that they were working to achieve. </w:t>
      </w:r>
    </w:p>
    <w:p w:rsidR="009535E6" w:rsidRDefault="009535E6" w:rsidP="00E7653C">
      <w:pPr>
        <w:rPr>
          <w:lang w:val="en-US"/>
        </w:rPr>
      </w:pPr>
      <w:r>
        <w:rPr>
          <w:lang w:val="en-US"/>
        </w:rPr>
        <w:t>These efforts included the preparation of a Climate Change Profile for each the countries in which there was a development programme (</w:t>
      </w:r>
      <w:hyperlink r:id="rId13" w:history="1">
        <w:r w:rsidRPr="005A55CC">
          <w:rPr>
            <w:rStyle w:val="Hyperlink"/>
            <w:lang w:val="en-US"/>
          </w:rPr>
          <w:t>DSU, 2016b</w:t>
        </w:r>
      </w:hyperlink>
      <w:r>
        <w:rPr>
          <w:lang w:val="en-US"/>
        </w:rPr>
        <w:t xml:space="preserve">). The objective of the Climate Profile is to provide a brief (± 15 page including maps) overview of the projected impact of climate change in the country, including a specific focus on food security and water, the country’s climate change policies, NDC, and programmes, and Dutch and international climate-related actions. By providing information on geographic and sector climate risks the profiles assist embassies in preparing new projects and programmes. A climate screening guideline was prepared and used by many of the embassies and the centrally managed food security and water programmes to screen projects to assess their contribution to climate adaptation and or mitigation. To improve reporting on climate change activities and contribution to climate finance, there is a rigorous application of the </w:t>
      </w:r>
      <w:hyperlink r:id="rId14" w:history="1">
        <w:r w:rsidRPr="006B1281">
          <w:t>OECD Rio Markers</w:t>
        </w:r>
      </w:hyperlink>
      <w:r>
        <w:rPr>
          <w:rStyle w:val="Hyperlink"/>
          <w:lang w:val="en-US"/>
        </w:rPr>
        <w:t xml:space="preserve"> (OECD 2016) </w:t>
      </w:r>
      <w:r>
        <w:rPr>
          <w:lang w:val="en-US"/>
        </w:rPr>
        <w:t>for each project. Capturing the embassy’s response to climate change an annual ‘pitch and bid’ is prepared – a brief (2-page) report that includes each project’s contribution to climate change (adaptation and mitigation) both anticipated development results and climate finance contribution. Supporting the embassies are in-country climate workshops</w:t>
      </w:r>
      <w:r w:rsidRPr="009E7935">
        <w:rPr>
          <w:lang w:val="en-US"/>
        </w:rPr>
        <w:t xml:space="preserve"> </w:t>
      </w:r>
      <w:r>
        <w:rPr>
          <w:lang w:val="en-US"/>
        </w:rPr>
        <w:t xml:space="preserve">(which include </w:t>
      </w:r>
      <w:r w:rsidRPr="00C52223">
        <w:t xml:space="preserve">interactive </w:t>
      </w:r>
      <w:hyperlink r:id="rId15" w:history="1">
        <w:r w:rsidRPr="00C52223">
          <w:t>impact assessment</w:t>
        </w:r>
      </w:hyperlink>
      <w:r w:rsidRPr="00C52223">
        <w:t>s</w:t>
      </w:r>
      <w:r>
        <w:t>)</w:t>
      </w:r>
      <w:r>
        <w:rPr>
          <w:lang w:val="en-US"/>
        </w:rPr>
        <w:t xml:space="preserve">, an annual climate –smart workshop, and for both embassies and central departments climate e-courses, inclusion of climate in sector e-courses such as food security, an on-line climate-helpdesk. In addition, </w:t>
      </w:r>
      <w:r w:rsidRPr="00A42F23">
        <w:rPr>
          <w:lang w:val="en-US"/>
        </w:rPr>
        <w:t>Mainstreami</w:t>
      </w:r>
      <w:r>
        <w:rPr>
          <w:lang w:val="en-US"/>
        </w:rPr>
        <w:t xml:space="preserve">ng Guidelines were developed that help embassies and central departments in mainstreaming climate change into their development policies and programmes. The generated climate-smart ideas are integrated into on-going and future programs. </w:t>
      </w:r>
    </w:p>
    <w:p w:rsidR="009535E6" w:rsidRPr="00517CE0" w:rsidRDefault="009535E6" w:rsidP="00796BB5">
      <w:pPr>
        <w:rPr>
          <w:b/>
          <w:lang w:val="en-US"/>
        </w:rPr>
      </w:pPr>
      <w:r>
        <w:rPr>
          <w:b/>
          <w:lang w:val="en-US"/>
        </w:rPr>
        <w:t>Discussion</w:t>
      </w:r>
    </w:p>
    <w:p w:rsidR="009535E6" w:rsidRPr="00B92E7A" w:rsidRDefault="009535E6" w:rsidP="008E5FA0">
      <w:pPr>
        <w:rPr>
          <w:lang w:val="en-US"/>
        </w:rPr>
      </w:pPr>
      <w:r>
        <w:rPr>
          <w:lang w:val="en-US"/>
        </w:rPr>
        <w:t>While currently on track for a Dutch fair share of climate finance</w:t>
      </w:r>
      <w:r w:rsidRPr="008E5FA0">
        <w:rPr>
          <w:lang w:val="en-US"/>
        </w:rPr>
        <w:t xml:space="preserve">, </w:t>
      </w:r>
      <w:r>
        <w:rPr>
          <w:lang w:val="en-US"/>
        </w:rPr>
        <w:t>the following questions are being asked:</w:t>
      </w:r>
    </w:p>
    <w:p w:rsidR="009535E6" w:rsidRDefault="009535E6" w:rsidP="00663CD8">
      <w:pPr>
        <w:pStyle w:val="ListParagraph"/>
        <w:numPr>
          <w:ilvl w:val="0"/>
          <w:numId w:val="2"/>
        </w:numPr>
        <w:rPr>
          <w:lang w:val="en-US"/>
        </w:rPr>
      </w:pPr>
      <w:r w:rsidRPr="00C30D6E">
        <w:rPr>
          <w:b/>
          <w:lang w:val="en-US"/>
        </w:rPr>
        <w:t xml:space="preserve">How to </w:t>
      </w:r>
      <w:r>
        <w:rPr>
          <w:b/>
          <w:lang w:val="en-US"/>
        </w:rPr>
        <w:t>encourage climate-smart/sensitive investment</w:t>
      </w:r>
      <w:r w:rsidRPr="00C30D6E">
        <w:rPr>
          <w:b/>
          <w:lang w:val="en-US"/>
        </w:rPr>
        <w:t>?</w:t>
      </w:r>
      <w:r w:rsidRPr="003C2301">
        <w:rPr>
          <w:lang w:val="en-US"/>
        </w:rPr>
        <w:t xml:space="preserve"> </w:t>
      </w:r>
      <w:r>
        <w:rPr>
          <w:lang w:val="en-US"/>
        </w:rPr>
        <w:t xml:space="preserve">Some investments are intrinsically (if not explicitly) engaged in climate-sensitive activities such as energy, transport, agriculture and infrastructure. Climate change is an added complexity, which has to be brought into the equation as a future constraint, but in an approach, that provides incentives and encourages </w:t>
      </w:r>
      <w:r w:rsidRPr="009A0234">
        <w:rPr>
          <w:lang w:val="en-US"/>
        </w:rPr>
        <w:t>investment. Such incentives may “tilt” the level playing field delicately toward climate smart investments, by means of government interventions like specific infrastructure investments, regulations and market based instruments. While investment incentives for climate-smart value chains were mentioned to some degree in</w:t>
      </w:r>
      <w:r w:rsidRPr="00663CD8">
        <w:rPr>
          <w:lang w:val="en-US"/>
        </w:rPr>
        <w:t xml:space="preserve"> climate screening workshops, </w:t>
      </w:r>
      <w:r>
        <w:rPr>
          <w:lang w:val="en-US"/>
        </w:rPr>
        <w:t xml:space="preserve">‘pitch-and-bids’ </w:t>
      </w:r>
      <w:r w:rsidRPr="00663CD8">
        <w:rPr>
          <w:lang w:val="en-US"/>
        </w:rPr>
        <w:t xml:space="preserve">reports, project designs, and in the aid to trade discussions, much remains to be learned and applied.  </w:t>
      </w:r>
    </w:p>
    <w:p w:rsidR="009535E6" w:rsidRDefault="009535E6" w:rsidP="00647009">
      <w:pPr>
        <w:pStyle w:val="ListParagraph"/>
        <w:numPr>
          <w:ilvl w:val="0"/>
          <w:numId w:val="2"/>
        </w:numPr>
        <w:rPr>
          <w:lang w:val="en-US"/>
        </w:rPr>
      </w:pPr>
      <w:r>
        <w:rPr>
          <w:b/>
          <w:lang w:val="en-US"/>
        </w:rPr>
        <w:t>How to</w:t>
      </w:r>
      <w:r w:rsidRPr="008F2A77">
        <w:rPr>
          <w:b/>
          <w:lang w:val="en-US"/>
        </w:rPr>
        <w:t xml:space="preserve"> </w:t>
      </w:r>
      <w:r>
        <w:rPr>
          <w:b/>
          <w:lang w:val="en-US"/>
        </w:rPr>
        <w:t xml:space="preserve">measure the </w:t>
      </w:r>
      <w:r w:rsidRPr="008F2A77">
        <w:rPr>
          <w:b/>
          <w:lang w:val="en-US"/>
        </w:rPr>
        <w:t>effective</w:t>
      </w:r>
      <w:r>
        <w:rPr>
          <w:b/>
          <w:lang w:val="en-US"/>
        </w:rPr>
        <w:t>ness of</w:t>
      </w:r>
      <w:r w:rsidRPr="008F2A77">
        <w:rPr>
          <w:b/>
          <w:lang w:val="en-US"/>
        </w:rPr>
        <w:t xml:space="preserve"> climate finance?</w:t>
      </w:r>
      <w:r>
        <w:rPr>
          <w:lang w:val="en-US"/>
        </w:rPr>
        <w:t xml:space="preserve"> The ultimate measure of climate finance is if here is a decrease in GHG (or less than Business as Usual) and/or increased resilience. Currently a significant portion of climate finance is being channeled to improving the policies, institutional management, and programmes (such as support to the implementation of the NDC). </w:t>
      </w:r>
      <w:r w:rsidRPr="00D7005E">
        <w:rPr>
          <w:lang w:val="en-US"/>
        </w:rPr>
        <w:t>Country ownership is a leading principle, but the</w:t>
      </w:r>
      <w:r>
        <w:rPr>
          <w:lang w:val="en-US"/>
        </w:rPr>
        <w:t xml:space="preserve">re is on-going discussion by the </w:t>
      </w:r>
      <w:r w:rsidRPr="00D7005E">
        <w:rPr>
          <w:lang w:val="en-US"/>
        </w:rPr>
        <w:t xml:space="preserve">international community </w:t>
      </w:r>
      <w:r>
        <w:rPr>
          <w:lang w:val="en-US"/>
        </w:rPr>
        <w:t xml:space="preserve">on how </w:t>
      </w:r>
      <w:r w:rsidRPr="00D7005E">
        <w:rPr>
          <w:lang w:val="en-US"/>
        </w:rPr>
        <w:t xml:space="preserve">countries may be helped to develop </w:t>
      </w:r>
      <w:r>
        <w:rPr>
          <w:lang w:val="en-US"/>
        </w:rPr>
        <w:t xml:space="preserve">sound </w:t>
      </w:r>
      <w:r w:rsidRPr="00D7005E">
        <w:rPr>
          <w:lang w:val="en-US"/>
        </w:rPr>
        <w:t>country programs</w:t>
      </w:r>
      <w:r>
        <w:rPr>
          <w:lang w:val="en-US"/>
        </w:rPr>
        <w:t>. What is still to be determined, is the extent to which this funding results in mitigation or adaptation.</w:t>
      </w:r>
    </w:p>
    <w:p w:rsidR="009535E6" w:rsidRDefault="009535E6" w:rsidP="00B35D4F">
      <w:pPr>
        <w:pStyle w:val="ListParagraph"/>
        <w:numPr>
          <w:ilvl w:val="0"/>
          <w:numId w:val="2"/>
        </w:numPr>
        <w:rPr>
          <w:lang w:val="en-US"/>
        </w:rPr>
      </w:pPr>
      <w:r>
        <w:rPr>
          <w:b/>
          <w:lang w:val="en-US"/>
        </w:rPr>
        <w:t>How may impact assessment contribute?</w:t>
      </w:r>
      <w:r>
        <w:rPr>
          <w:lang w:val="en-US"/>
        </w:rPr>
        <w:t xml:space="preserve"> The mainstreaming approach used by the Netherlands ministry included a requirement to assess the climate impacts and opportunities of development programmes that do not have climate mitigation or adaptation as their primary objective. The Netherlands has done this with the mainstreaming approach described as a whole, as it urged programme managers to explain how they contribute to climate change objectives, and offered them methodology in terms of process and content. It fits the IAIA definition: “</w:t>
      </w:r>
      <w:r>
        <w:t>I</w:t>
      </w:r>
      <w:r w:rsidRPr="006B1281">
        <w:t>mpact assessment, simply defined, is the process of identifying the future consequences of a current or proposed action</w:t>
      </w:r>
      <w:r>
        <w:t>”</w:t>
      </w:r>
      <w:r w:rsidRPr="006B1281">
        <w:t xml:space="preserve"> </w:t>
      </w:r>
      <w:r>
        <w:t xml:space="preserve">(IAIA.org), with the limitation that it relates only to climate change consequences. </w:t>
      </w:r>
      <w:r>
        <w:rPr>
          <w:lang w:val="en-US"/>
        </w:rPr>
        <w:t>It is the authors’ impression, as reflective practitioners, that it has made a difference. The induced s</w:t>
      </w:r>
      <w:r w:rsidRPr="00647009">
        <w:rPr>
          <w:lang w:val="en-US"/>
        </w:rPr>
        <w:t xml:space="preserve">trategic conversations between </w:t>
      </w:r>
      <w:r>
        <w:rPr>
          <w:lang w:val="en-US"/>
        </w:rPr>
        <w:t xml:space="preserve">programme experts and climate experts </w:t>
      </w:r>
      <w:r w:rsidRPr="00647009">
        <w:rPr>
          <w:lang w:val="en-US"/>
        </w:rPr>
        <w:t>appear</w:t>
      </w:r>
      <w:r>
        <w:rPr>
          <w:lang w:val="en-US"/>
        </w:rPr>
        <w:t xml:space="preserve"> </w:t>
      </w:r>
      <w:r w:rsidRPr="00647009">
        <w:rPr>
          <w:lang w:val="en-US"/>
        </w:rPr>
        <w:t xml:space="preserve">to </w:t>
      </w:r>
      <w:r>
        <w:rPr>
          <w:lang w:val="en-US"/>
        </w:rPr>
        <w:t>have given new insights that may influence future programs</w:t>
      </w:r>
      <w:r w:rsidRPr="00647009">
        <w:rPr>
          <w:lang w:val="en-US"/>
        </w:rPr>
        <w:t>.</w:t>
      </w:r>
      <w:r>
        <w:rPr>
          <w:lang w:val="en-US"/>
        </w:rPr>
        <w:t xml:space="preserve"> Environmental assessment could also be applied to strategic government decisions that create frameworks for ODA programmes and private investments: the NDCs, strategic nexus decisions, sectoral programmes and large infrastructure projects. Such assessments may especially be geared to improving the capacity of governments and private actors to develop their policies in a collaborative and transparent way, on nexuses. Donors, for example, help the government of Mali to apply environmental assessment with a similar aim (</w:t>
      </w:r>
      <w:hyperlink r:id="rId16" w:history="1">
        <w:r w:rsidRPr="00E96405">
          <w:rPr>
            <w:rStyle w:val="Hyperlink"/>
            <w:lang w:val="en-US"/>
          </w:rPr>
          <w:t>GIZ, 2016</w:t>
        </w:r>
      </w:hyperlink>
      <w:r>
        <w:rPr>
          <w:lang w:val="en-US"/>
        </w:rPr>
        <w:t xml:space="preserve">). However, developing such capacities may take many years, creating a financer’s dilemma as described above. </w:t>
      </w:r>
    </w:p>
    <w:p w:rsidR="009535E6" w:rsidRPr="00B35D4F" w:rsidRDefault="009535E6" w:rsidP="00B35D4F">
      <w:pPr>
        <w:pStyle w:val="ListParagraph"/>
        <w:numPr>
          <w:ilvl w:val="0"/>
          <w:numId w:val="2"/>
        </w:numPr>
        <w:rPr>
          <w:lang w:val="en-US"/>
        </w:rPr>
      </w:pPr>
      <w:r>
        <w:rPr>
          <w:b/>
          <w:lang w:val="en-US"/>
        </w:rPr>
        <w:t>H</w:t>
      </w:r>
      <w:r w:rsidRPr="00C30D6E">
        <w:rPr>
          <w:b/>
          <w:lang w:val="en-US"/>
        </w:rPr>
        <w:t>ow to report</w:t>
      </w:r>
      <w:r>
        <w:rPr>
          <w:b/>
          <w:lang w:val="en-US"/>
        </w:rPr>
        <w:t xml:space="preserve"> ODA climate mitigation and adaptation results? </w:t>
      </w:r>
      <w:r>
        <w:rPr>
          <w:lang w:val="en-US"/>
        </w:rPr>
        <w:t xml:space="preserve">While there are challenges to measuring mitigation, the criterion is clear – put simply, it is GHG emissions, with accepted models for estimates and reporting. However, adaptation does not have such a single indicator, especially when considering long-term resilience rather than short-term gain. </w:t>
      </w:r>
      <w:r w:rsidRPr="00D7005E">
        <w:rPr>
          <w:lang w:val="en-US"/>
        </w:rPr>
        <w:t xml:space="preserve">The mainstreaming and </w:t>
      </w:r>
      <w:r>
        <w:rPr>
          <w:lang w:val="en-US"/>
        </w:rPr>
        <w:t>‘</w:t>
      </w:r>
      <w:r w:rsidRPr="00D7005E">
        <w:rPr>
          <w:lang w:val="en-US"/>
        </w:rPr>
        <w:t>from aid to trade</w:t>
      </w:r>
      <w:r>
        <w:rPr>
          <w:lang w:val="en-US"/>
        </w:rPr>
        <w:t>’</w:t>
      </w:r>
      <w:r w:rsidRPr="00D7005E">
        <w:rPr>
          <w:lang w:val="en-US"/>
        </w:rPr>
        <w:t xml:space="preserve"> approach </w:t>
      </w:r>
      <w:r>
        <w:rPr>
          <w:lang w:val="en-US"/>
        </w:rPr>
        <w:t xml:space="preserve">also </w:t>
      </w:r>
      <w:r w:rsidRPr="00D7005E">
        <w:rPr>
          <w:lang w:val="en-US"/>
        </w:rPr>
        <w:t>create reporting problems for climate change: even if fully integrated, the result areas need to be chosen pragmatically</w:t>
      </w:r>
      <w:r>
        <w:rPr>
          <w:lang w:val="en-US"/>
        </w:rPr>
        <w:t xml:space="preserve"> with </w:t>
      </w:r>
      <w:r w:rsidRPr="00D7005E">
        <w:rPr>
          <w:lang w:val="en-US"/>
        </w:rPr>
        <w:t>a focus on a few quantitative indicators</w:t>
      </w:r>
      <w:r>
        <w:rPr>
          <w:lang w:val="en-US"/>
        </w:rPr>
        <w:t xml:space="preserve"> for which data can be collected in a food security or water programme. However, the indicators </w:t>
      </w:r>
      <w:r w:rsidRPr="00D7005E">
        <w:rPr>
          <w:lang w:val="en-US"/>
        </w:rPr>
        <w:t>provoke discussion</w:t>
      </w:r>
      <w:r>
        <w:rPr>
          <w:lang w:val="en-US"/>
        </w:rPr>
        <w:t xml:space="preserve">s as to how to collect information on climate change when it is integrated into a food security or water programme. The GCF is developing </w:t>
      </w:r>
      <w:r w:rsidRPr="00D7005E">
        <w:rPr>
          <w:lang w:val="en-US"/>
        </w:rPr>
        <w:t>an investment framework, a performance monitoring system, and country ownership guidelines</w:t>
      </w:r>
      <w:r>
        <w:rPr>
          <w:lang w:val="en-US"/>
        </w:rPr>
        <w:t xml:space="preserve"> which may prove useful for the Netherlands and other countries that are working to report climate results within a mainstreaming approach. </w:t>
      </w:r>
      <w:r w:rsidRPr="00D7005E">
        <w:rPr>
          <w:lang w:val="en-US"/>
        </w:rPr>
        <w:t xml:space="preserve">Informal impact </w:t>
      </w:r>
      <w:r w:rsidRPr="009A0234">
        <w:rPr>
          <w:lang w:val="en-US"/>
        </w:rPr>
        <w:t>assessments (mainly done in screening workshops) have</w:t>
      </w:r>
      <w:r w:rsidRPr="00D7005E">
        <w:rPr>
          <w:lang w:val="en-US"/>
        </w:rPr>
        <w:t xml:space="preserve"> benefited the Dutch mainstreaming approach. </w:t>
      </w:r>
      <w:r>
        <w:rPr>
          <w:lang w:val="en-US"/>
        </w:rPr>
        <w:t xml:space="preserve">Reporting the progress of such learning efforts – e.g. to which extent do impact assessments inspire implementing experts and contribute to climate-smart ODA? - may be a necessity to maintain political support for climate finance. </w:t>
      </w:r>
    </w:p>
    <w:p w:rsidR="009535E6" w:rsidRDefault="009535E6" w:rsidP="00517CE0">
      <w:pPr>
        <w:rPr>
          <w:lang w:val="en-US"/>
        </w:rPr>
      </w:pPr>
      <w:r>
        <w:rPr>
          <w:b/>
          <w:lang w:val="en-US"/>
        </w:rPr>
        <w:t>References</w:t>
      </w:r>
    </w:p>
    <w:p w:rsidR="009535E6" w:rsidRDefault="009535E6" w:rsidP="003F6174">
      <w:hyperlink r:id="rId17" w:history="1">
        <w:r w:rsidRPr="00BD2DDF">
          <w:t xml:space="preserve">DSU, 2016a. </w:t>
        </w:r>
        <w:r w:rsidRPr="003F6174">
          <w:rPr>
            <w:rStyle w:val="Hyperlink"/>
          </w:rPr>
          <w:t>Better Decision-Making about Large Dams with a View to Sustainable Development. Advisory Report by the Dutch Sustainability Unit</w:t>
        </w:r>
      </w:hyperlink>
      <w:r>
        <w:t>. Utrecht</w:t>
      </w:r>
    </w:p>
    <w:p w:rsidR="009535E6" w:rsidRDefault="009535E6" w:rsidP="0055596A">
      <w:pPr>
        <w:rPr>
          <w:lang w:val="en-US"/>
        </w:rPr>
      </w:pPr>
      <w:r w:rsidRPr="00BD2DDF">
        <w:t>DSU, 2016b.</w:t>
      </w:r>
      <w:r>
        <w:rPr>
          <w:rStyle w:val="Hyperlink"/>
          <w:lang w:val="en-US"/>
        </w:rPr>
        <w:t xml:space="preserve"> C</w:t>
      </w:r>
      <w:hyperlink r:id="rId18" w:history="1">
        <w:r w:rsidRPr="005A171F">
          <w:rPr>
            <w:rStyle w:val="Hyperlink"/>
            <w:lang w:val="en-US"/>
          </w:rPr>
          <w:t>limate change profile</w:t>
        </w:r>
      </w:hyperlink>
      <w:r>
        <w:rPr>
          <w:rStyle w:val="Hyperlink"/>
          <w:lang w:val="en-US"/>
        </w:rPr>
        <w:t xml:space="preserve">s for Dutch partner countries. </w:t>
      </w:r>
      <w:r>
        <w:t>Utrecht</w:t>
      </w:r>
    </w:p>
    <w:p w:rsidR="009535E6" w:rsidRDefault="009535E6" w:rsidP="00327E5C">
      <w:pPr>
        <w:rPr>
          <w:lang w:val="en-US"/>
        </w:rPr>
      </w:pPr>
      <w:hyperlink r:id="rId19" w:history="1">
        <w:r w:rsidRPr="00BD2DDF">
          <w:t xml:space="preserve">EU, 2016. </w:t>
        </w:r>
        <w:r w:rsidRPr="003F3BB4">
          <w:rPr>
            <w:rStyle w:val="Hyperlink"/>
            <w:lang w:val="en-US"/>
          </w:rPr>
          <w:t>Integrating the environment and climate change into EU international cooperation and development</w:t>
        </w:r>
        <w:r>
          <w:rPr>
            <w:rStyle w:val="Hyperlink"/>
            <w:lang w:val="en-US"/>
          </w:rPr>
          <w:t>.</w:t>
        </w:r>
        <w:r w:rsidRPr="003F3BB4">
          <w:rPr>
            <w:rStyle w:val="Hyperlink"/>
            <w:lang w:val="en-US"/>
          </w:rPr>
          <w:t xml:space="preserve"> Towards sustainable development</w:t>
        </w:r>
        <w:r>
          <w:rPr>
            <w:rStyle w:val="Hyperlink"/>
            <w:lang w:val="en-US"/>
          </w:rPr>
          <w:t>.</w:t>
        </w:r>
        <w:r w:rsidRPr="003F3BB4">
          <w:rPr>
            <w:rStyle w:val="Hyperlink"/>
            <w:lang w:val="en-US"/>
          </w:rPr>
          <w:t xml:space="preserve"> </w:t>
        </w:r>
        <w:r w:rsidRPr="00BD2DDF">
          <w:t>Guidelines No 6, Tools and Methods Series Directorate-General for International Cooperation and Development European Commission</w:t>
        </w:r>
      </w:hyperlink>
    </w:p>
    <w:p w:rsidR="009535E6" w:rsidRDefault="009535E6" w:rsidP="00241718">
      <w:r>
        <w:t xml:space="preserve">GIZ, 2016. Launch of the national adaptation plan process in Mali. Website, accessed February 2017 </w:t>
      </w:r>
      <w:hyperlink r:id="rId20" w:history="1">
        <w:r w:rsidRPr="00474C78">
          <w:rPr>
            <w:rStyle w:val="Hyperlink"/>
          </w:rPr>
          <w:t>https://www.international-climate-initiative.com/en/news/article/launch_of_the_nap_process_in_mali/</w:t>
        </w:r>
      </w:hyperlink>
      <w:r>
        <w:t xml:space="preserve"> </w:t>
      </w:r>
    </w:p>
    <w:p w:rsidR="009535E6" w:rsidRDefault="009535E6" w:rsidP="004D2719">
      <w:hyperlink r:id="rId21" w:history="1">
        <w:r w:rsidRPr="00BD2DDF">
          <w:t xml:space="preserve">Gupta J. (Joyeeta), C.J.A.M. Termeer (Catrien), J. Klostermann (Judith), S. Meijerink (Sander), M. van den Brink (Margo), P. Jong (Pieter), S.G. Nooteboom (Sibout) and E. Bergsma (Emmy), 2010. </w:t>
        </w:r>
        <w:r w:rsidRPr="0001693B">
          <w:rPr>
            <w:rStyle w:val="Hyperlink"/>
          </w:rPr>
          <w:t xml:space="preserve">The Adaptive Capacity Wheel: A method to assess the inherent characteristics of institutions to enable the adaptive capacity of society. </w:t>
        </w:r>
        <w:r w:rsidRPr="00BD2DDF">
          <w:t>Environmental Science &amp; Policy, Volume 13 - Issue 6 p. 459- 471</w:t>
        </w:r>
      </w:hyperlink>
    </w:p>
    <w:p w:rsidR="009535E6" w:rsidRDefault="009535E6" w:rsidP="00E91C2B">
      <w:hyperlink r:id="rId22" w:history="1">
        <w:r w:rsidRPr="00BD2DDF">
          <w:t>Howes Michael, Peter Tangney, Kimberley Reis, Deanna Grant-Smith, Michael Heazle, Karyn Bosomworth, and Paul Burton.</w:t>
        </w:r>
        <w:r w:rsidRPr="00BD2DDF">
          <w:rPr>
            <w:rStyle w:val="Hyperlink"/>
          </w:rPr>
          <w:t xml:space="preserve"> Towards networked governance: improving interagency communication and collaboration for disaster risk management and climate change adaptation in Australia. </w:t>
        </w:r>
        <w:r w:rsidRPr="00BD2DDF">
          <w:t>Journal Of Environmental Planning And Management Vol. 58 , Iss. 5, 2015</w:t>
        </w:r>
      </w:hyperlink>
    </w:p>
    <w:p w:rsidR="009535E6" w:rsidRDefault="009535E6" w:rsidP="008743F5">
      <w:hyperlink r:id="rId23" w:history="1">
        <w:r w:rsidRPr="00BD2DDF">
          <w:t xml:space="preserve">Mazzucato Mariana, 2016. </w:t>
        </w:r>
        <w:r w:rsidRPr="008743F5">
          <w:rPr>
            <w:rStyle w:val="Hyperlink"/>
          </w:rPr>
          <w:t xml:space="preserve">From market fixing to market-creating: a new framework for innovation policy. </w:t>
        </w:r>
        <w:r w:rsidRPr="00BD2DDF">
          <w:t>Industry And Innovation Vol. 23 , Iss. 2, 2016</w:t>
        </w:r>
      </w:hyperlink>
    </w:p>
    <w:p w:rsidR="009535E6" w:rsidRDefault="009535E6" w:rsidP="0055596A">
      <w:pPr>
        <w:rPr>
          <w:lang w:val="en-US"/>
        </w:rPr>
      </w:pPr>
      <w:r w:rsidRPr="000407D7">
        <w:t xml:space="preserve">OECD 2016. </w:t>
      </w:r>
      <w:hyperlink r:id="rId24" w:history="1">
        <w:r w:rsidRPr="000407D7">
          <w:rPr>
            <w:rStyle w:val="Hyperlink"/>
            <w:lang w:val="en-US"/>
          </w:rPr>
          <w:t>OECD DAC Rio Markers for Climate: Handbook</w:t>
        </w:r>
      </w:hyperlink>
      <w:r>
        <w:rPr>
          <w:lang w:val="en-US"/>
        </w:rPr>
        <w:t>. Undated website, Accessed January 2017</w:t>
      </w:r>
    </w:p>
    <w:p w:rsidR="009535E6" w:rsidRDefault="009535E6" w:rsidP="004A12BC">
      <w:hyperlink r:id="rId25" w:history="1">
        <w:r w:rsidRPr="00BD2DDF">
          <w:t>Termeer Catrien J.A.M., Art Dewulf, and G. Robbert Biesbroek.</w:t>
        </w:r>
        <w:r w:rsidRPr="008743F5">
          <w:rPr>
            <w:rStyle w:val="Hyperlink"/>
          </w:rPr>
          <w:t xml:space="preserve"> Transformational change: governance interventions for climate change adaptation from a continuous change perspective. </w:t>
        </w:r>
        <w:r w:rsidRPr="00BD2DDF">
          <w:t>Journal Of Environmental Planning And Management Vol. 0 , Iss. 0,0 2016</w:t>
        </w:r>
      </w:hyperlink>
    </w:p>
    <w:p w:rsidR="009535E6" w:rsidRDefault="009535E6" w:rsidP="006F2ADE">
      <w:r w:rsidRPr="00264459">
        <w:rPr>
          <w:lang w:val="nl-NL"/>
        </w:rPr>
        <w:t xml:space="preserve">Wakeford J.J., S.M Lagrange, C. Kelly, 2016. </w:t>
      </w:r>
      <w:hyperlink r:id="rId26" w:history="1">
        <w:r w:rsidRPr="00BD2DDF">
          <w:rPr>
            <w:rStyle w:val="Hyperlink"/>
          </w:rPr>
          <w:t>Managing the Energy-food-water-Nexus in Developing Countries: Case Studies of Transition Governance</w:t>
        </w:r>
      </w:hyperlink>
      <w:r>
        <w:t>. QGRL WORKING PAPER No. 2016/01</w:t>
      </w:r>
    </w:p>
    <w:sectPr w:rsidR="009535E6" w:rsidSect="007239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5E6" w:rsidRDefault="009535E6" w:rsidP="00B94F85">
      <w:pPr>
        <w:spacing w:after="0" w:line="240" w:lineRule="auto"/>
      </w:pPr>
      <w:r>
        <w:separator/>
      </w:r>
    </w:p>
  </w:endnote>
  <w:endnote w:type="continuationSeparator" w:id="0">
    <w:p w:rsidR="009535E6" w:rsidRDefault="009535E6" w:rsidP="00B94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5E6" w:rsidRDefault="009535E6" w:rsidP="00B94F85">
      <w:pPr>
        <w:spacing w:after="0" w:line="240" w:lineRule="auto"/>
      </w:pPr>
      <w:r>
        <w:separator/>
      </w:r>
    </w:p>
  </w:footnote>
  <w:footnote w:type="continuationSeparator" w:id="0">
    <w:p w:rsidR="009535E6" w:rsidRDefault="009535E6" w:rsidP="00B94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5805"/>
    <w:multiLevelType w:val="hybridMultilevel"/>
    <w:tmpl w:val="5CAA6C1A"/>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57F10CFD"/>
    <w:multiLevelType w:val="hybridMultilevel"/>
    <w:tmpl w:val="0AE8A8C0"/>
    <w:lvl w:ilvl="0" w:tplc="BCFEF54C">
      <w:start w:val="1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BC01AF"/>
    <w:multiLevelType w:val="hybridMultilevel"/>
    <w:tmpl w:val="E8A81324"/>
    <w:lvl w:ilvl="0" w:tplc="5A32ADFA">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CBE"/>
    <w:rsid w:val="000020E7"/>
    <w:rsid w:val="00006997"/>
    <w:rsid w:val="00007957"/>
    <w:rsid w:val="00010108"/>
    <w:rsid w:val="000107DC"/>
    <w:rsid w:val="00011281"/>
    <w:rsid w:val="00011CBE"/>
    <w:rsid w:val="00012063"/>
    <w:rsid w:val="00012915"/>
    <w:rsid w:val="00013709"/>
    <w:rsid w:val="0001674A"/>
    <w:rsid w:val="0001693B"/>
    <w:rsid w:val="000205A6"/>
    <w:rsid w:val="00020C6A"/>
    <w:rsid w:val="000237A7"/>
    <w:rsid w:val="0002463B"/>
    <w:rsid w:val="00026246"/>
    <w:rsid w:val="000347DB"/>
    <w:rsid w:val="00035D6A"/>
    <w:rsid w:val="0004075B"/>
    <w:rsid w:val="000407D7"/>
    <w:rsid w:val="000479D2"/>
    <w:rsid w:val="00051457"/>
    <w:rsid w:val="0006132E"/>
    <w:rsid w:val="00064958"/>
    <w:rsid w:val="00071E4A"/>
    <w:rsid w:val="000741D5"/>
    <w:rsid w:val="00074755"/>
    <w:rsid w:val="000773DE"/>
    <w:rsid w:val="000925CD"/>
    <w:rsid w:val="0009306E"/>
    <w:rsid w:val="00093B51"/>
    <w:rsid w:val="00095128"/>
    <w:rsid w:val="00097800"/>
    <w:rsid w:val="000A0AC6"/>
    <w:rsid w:val="000A14ED"/>
    <w:rsid w:val="000A4FCD"/>
    <w:rsid w:val="000A7510"/>
    <w:rsid w:val="000B204D"/>
    <w:rsid w:val="000B6795"/>
    <w:rsid w:val="000C02E0"/>
    <w:rsid w:val="000C0CCD"/>
    <w:rsid w:val="000C13BD"/>
    <w:rsid w:val="000C6887"/>
    <w:rsid w:val="000D09BF"/>
    <w:rsid w:val="000D1130"/>
    <w:rsid w:val="000D41B6"/>
    <w:rsid w:val="000E3201"/>
    <w:rsid w:val="000E3D74"/>
    <w:rsid w:val="000E4F38"/>
    <w:rsid w:val="000E6F6A"/>
    <w:rsid w:val="000F00F0"/>
    <w:rsid w:val="000F0CF1"/>
    <w:rsid w:val="000F5DCF"/>
    <w:rsid w:val="00102416"/>
    <w:rsid w:val="00102C2F"/>
    <w:rsid w:val="00113223"/>
    <w:rsid w:val="001170AF"/>
    <w:rsid w:val="00117C10"/>
    <w:rsid w:val="00120056"/>
    <w:rsid w:val="001263F7"/>
    <w:rsid w:val="00127052"/>
    <w:rsid w:val="00133FE1"/>
    <w:rsid w:val="00141D59"/>
    <w:rsid w:val="00144DAE"/>
    <w:rsid w:val="00151004"/>
    <w:rsid w:val="001525D5"/>
    <w:rsid w:val="0015616D"/>
    <w:rsid w:val="001616A6"/>
    <w:rsid w:val="001621AC"/>
    <w:rsid w:val="00162FA3"/>
    <w:rsid w:val="00163A46"/>
    <w:rsid w:val="00166D40"/>
    <w:rsid w:val="001753E8"/>
    <w:rsid w:val="0017678E"/>
    <w:rsid w:val="00181E79"/>
    <w:rsid w:val="00181FF4"/>
    <w:rsid w:val="00182B94"/>
    <w:rsid w:val="001877ED"/>
    <w:rsid w:val="001915D9"/>
    <w:rsid w:val="001950FC"/>
    <w:rsid w:val="001A3B4F"/>
    <w:rsid w:val="001A562B"/>
    <w:rsid w:val="001C3961"/>
    <w:rsid w:val="001C5244"/>
    <w:rsid w:val="001C5C97"/>
    <w:rsid w:val="001C5D6C"/>
    <w:rsid w:val="001C6B67"/>
    <w:rsid w:val="001D0A46"/>
    <w:rsid w:val="001D4C39"/>
    <w:rsid w:val="001D7893"/>
    <w:rsid w:val="001E566E"/>
    <w:rsid w:val="001E777B"/>
    <w:rsid w:val="001F0F17"/>
    <w:rsid w:val="001F22EC"/>
    <w:rsid w:val="001F26E5"/>
    <w:rsid w:val="001F4A20"/>
    <w:rsid w:val="001F7121"/>
    <w:rsid w:val="001F7368"/>
    <w:rsid w:val="001F7430"/>
    <w:rsid w:val="00202A1A"/>
    <w:rsid w:val="00204F07"/>
    <w:rsid w:val="0021266F"/>
    <w:rsid w:val="0021579F"/>
    <w:rsid w:val="00216F81"/>
    <w:rsid w:val="0022072E"/>
    <w:rsid w:val="0022231D"/>
    <w:rsid w:val="002233E7"/>
    <w:rsid w:val="00225C10"/>
    <w:rsid w:val="00233AFF"/>
    <w:rsid w:val="00234AD4"/>
    <w:rsid w:val="0023658D"/>
    <w:rsid w:val="0023678B"/>
    <w:rsid w:val="00237320"/>
    <w:rsid w:val="002405AC"/>
    <w:rsid w:val="00241718"/>
    <w:rsid w:val="00241DC6"/>
    <w:rsid w:val="00250D5F"/>
    <w:rsid w:val="00251A3C"/>
    <w:rsid w:val="002557F9"/>
    <w:rsid w:val="00256BBE"/>
    <w:rsid w:val="0026038E"/>
    <w:rsid w:val="0026254B"/>
    <w:rsid w:val="00262D9C"/>
    <w:rsid w:val="00264459"/>
    <w:rsid w:val="0026527D"/>
    <w:rsid w:val="002655D9"/>
    <w:rsid w:val="002702BA"/>
    <w:rsid w:val="002719CD"/>
    <w:rsid w:val="002807A9"/>
    <w:rsid w:val="00282ABF"/>
    <w:rsid w:val="00286429"/>
    <w:rsid w:val="0029180F"/>
    <w:rsid w:val="00291E15"/>
    <w:rsid w:val="00291FE3"/>
    <w:rsid w:val="002929EC"/>
    <w:rsid w:val="00292DDD"/>
    <w:rsid w:val="002A4739"/>
    <w:rsid w:val="002B02E1"/>
    <w:rsid w:val="002B0FE0"/>
    <w:rsid w:val="002B4032"/>
    <w:rsid w:val="002B4117"/>
    <w:rsid w:val="002B456F"/>
    <w:rsid w:val="002B5975"/>
    <w:rsid w:val="002B6163"/>
    <w:rsid w:val="002B630E"/>
    <w:rsid w:val="002C47AB"/>
    <w:rsid w:val="002C49FD"/>
    <w:rsid w:val="002C5350"/>
    <w:rsid w:val="002D6814"/>
    <w:rsid w:val="002D7193"/>
    <w:rsid w:val="002E3405"/>
    <w:rsid w:val="002E6636"/>
    <w:rsid w:val="002F0308"/>
    <w:rsid w:val="002F0C26"/>
    <w:rsid w:val="002F64FE"/>
    <w:rsid w:val="002F6EB6"/>
    <w:rsid w:val="0030342B"/>
    <w:rsid w:val="0030634D"/>
    <w:rsid w:val="003140AA"/>
    <w:rsid w:val="00324AD7"/>
    <w:rsid w:val="003274DE"/>
    <w:rsid w:val="00327E5C"/>
    <w:rsid w:val="0033157A"/>
    <w:rsid w:val="00336DDB"/>
    <w:rsid w:val="00340B30"/>
    <w:rsid w:val="0034113D"/>
    <w:rsid w:val="00341C48"/>
    <w:rsid w:val="00342ECC"/>
    <w:rsid w:val="00346050"/>
    <w:rsid w:val="00346DEF"/>
    <w:rsid w:val="00350A10"/>
    <w:rsid w:val="00350A96"/>
    <w:rsid w:val="00352496"/>
    <w:rsid w:val="00352D5E"/>
    <w:rsid w:val="0035722A"/>
    <w:rsid w:val="00357A22"/>
    <w:rsid w:val="00360F17"/>
    <w:rsid w:val="0036132C"/>
    <w:rsid w:val="00364359"/>
    <w:rsid w:val="00364964"/>
    <w:rsid w:val="00370658"/>
    <w:rsid w:val="00371160"/>
    <w:rsid w:val="00371A52"/>
    <w:rsid w:val="00371B44"/>
    <w:rsid w:val="0038623C"/>
    <w:rsid w:val="0038787C"/>
    <w:rsid w:val="003916C9"/>
    <w:rsid w:val="00393D7F"/>
    <w:rsid w:val="0039640F"/>
    <w:rsid w:val="00396777"/>
    <w:rsid w:val="003A1493"/>
    <w:rsid w:val="003A30AB"/>
    <w:rsid w:val="003A393B"/>
    <w:rsid w:val="003A54A8"/>
    <w:rsid w:val="003A5E17"/>
    <w:rsid w:val="003A7136"/>
    <w:rsid w:val="003A7A9E"/>
    <w:rsid w:val="003B409E"/>
    <w:rsid w:val="003B4996"/>
    <w:rsid w:val="003B5D50"/>
    <w:rsid w:val="003B65E6"/>
    <w:rsid w:val="003B6EA2"/>
    <w:rsid w:val="003C13B5"/>
    <w:rsid w:val="003C2301"/>
    <w:rsid w:val="003C311E"/>
    <w:rsid w:val="003C6714"/>
    <w:rsid w:val="003D051E"/>
    <w:rsid w:val="003D13E5"/>
    <w:rsid w:val="003D3EDE"/>
    <w:rsid w:val="003D6248"/>
    <w:rsid w:val="003D7EDE"/>
    <w:rsid w:val="003D7F86"/>
    <w:rsid w:val="003E1025"/>
    <w:rsid w:val="003F3812"/>
    <w:rsid w:val="003F3BB4"/>
    <w:rsid w:val="003F4ED5"/>
    <w:rsid w:val="003F5553"/>
    <w:rsid w:val="003F6174"/>
    <w:rsid w:val="003F7311"/>
    <w:rsid w:val="00402E68"/>
    <w:rsid w:val="00403622"/>
    <w:rsid w:val="00403CE4"/>
    <w:rsid w:val="00404DBF"/>
    <w:rsid w:val="00412BA1"/>
    <w:rsid w:val="00413733"/>
    <w:rsid w:val="004139B6"/>
    <w:rsid w:val="0042101E"/>
    <w:rsid w:val="00425068"/>
    <w:rsid w:val="004252AE"/>
    <w:rsid w:val="004263B2"/>
    <w:rsid w:val="00427F8E"/>
    <w:rsid w:val="00430B08"/>
    <w:rsid w:val="00430CFD"/>
    <w:rsid w:val="00433D36"/>
    <w:rsid w:val="00434039"/>
    <w:rsid w:val="0043728A"/>
    <w:rsid w:val="00437991"/>
    <w:rsid w:val="004407B1"/>
    <w:rsid w:val="0044165D"/>
    <w:rsid w:val="00441857"/>
    <w:rsid w:val="00441FAD"/>
    <w:rsid w:val="0044489A"/>
    <w:rsid w:val="0045151E"/>
    <w:rsid w:val="00451B2E"/>
    <w:rsid w:val="004536C6"/>
    <w:rsid w:val="0045400E"/>
    <w:rsid w:val="004549EF"/>
    <w:rsid w:val="004573B4"/>
    <w:rsid w:val="00460262"/>
    <w:rsid w:val="0046199F"/>
    <w:rsid w:val="004621FB"/>
    <w:rsid w:val="00462290"/>
    <w:rsid w:val="00463806"/>
    <w:rsid w:val="0046420F"/>
    <w:rsid w:val="0046573B"/>
    <w:rsid w:val="00466E9E"/>
    <w:rsid w:val="0047120C"/>
    <w:rsid w:val="00472027"/>
    <w:rsid w:val="00474C78"/>
    <w:rsid w:val="00475577"/>
    <w:rsid w:val="00476F09"/>
    <w:rsid w:val="004778B7"/>
    <w:rsid w:val="004864D4"/>
    <w:rsid w:val="004A0120"/>
    <w:rsid w:val="004A12BC"/>
    <w:rsid w:val="004A2ABC"/>
    <w:rsid w:val="004A30B2"/>
    <w:rsid w:val="004A3861"/>
    <w:rsid w:val="004A4CEB"/>
    <w:rsid w:val="004A7E68"/>
    <w:rsid w:val="004C004F"/>
    <w:rsid w:val="004C5FA5"/>
    <w:rsid w:val="004C77D6"/>
    <w:rsid w:val="004D1B73"/>
    <w:rsid w:val="004D2719"/>
    <w:rsid w:val="004D3269"/>
    <w:rsid w:val="004D5600"/>
    <w:rsid w:val="004E15E7"/>
    <w:rsid w:val="004E4276"/>
    <w:rsid w:val="004E63C8"/>
    <w:rsid w:val="004F104C"/>
    <w:rsid w:val="004F11F9"/>
    <w:rsid w:val="004F33C2"/>
    <w:rsid w:val="004F37E7"/>
    <w:rsid w:val="004F3C7D"/>
    <w:rsid w:val="004F759C"/>
    <w:rsid w:val="00501893"/>
    <w:rsid w:val="00504B25"/>
    <w:rsid w:val="00512A96"/>
    <w:rsid w:val="00515605"/>
    <w:rsid w:val="0051621A"/>
    <w:rsid w:val="00517CE0"/>
    <w:rsid w:val="005206D2"/>
    <w:rsid w:val="00536378"/>
    <w:rsid w:val="00536E03"/>
    <w:rsid w:val="00542D3A"/>
    <w:rsid w:val="00543B47"/>
    <w:rsid w:val="005514C5"/>
    <w:rsid w:val="005526C0"/>
    <w:rsid w:val="00552E9F"/>
    <w:rsid w:val="00553724"/>
    <w:rsid w:val="0055596A"/>
    <w:rsid w:val="00556320"/>
    <w:rsid w:val="00564F36"/>
    <w:rsid w:val="00566E97"/>
    <w:rsid w:val="00567189"/>
    <w:rsid w:val="00573D3F"/>
    <w:rsid w:val="00573DA6"/>
    <w:rsid w:val="00574819"/>
    <w:rsid w:val="00582C11"/>
    <w:rsid w:val="00586142"/>
    <w:rsid w:val="005925AD"/>
    <w:rsid w:val="0059264D"/>
    <w:rsid w:val="00593666"/>
    <w:rsid w:val="005950CE"/>
    <w:rsid w:val="005A171F"/>
    <w:rsid w:val="005A55CC"/>
    <w:rsid w:val="005B0D3E"/>
    <w:rsid w:val="005B5667"/>
    <w:rsid w:val="005B7EF7"/>
    <w:rsid w:val="005C42FD"/>
    <w:rsid w:val="005C7336"/>
    <w:rsid w:val="005D159A"/>
    <w:rsid w:val="005D18D8"/>
    <w:rsid w:val="005D5C43"/>
    <w:rsid w:val="005D7E21"/>
    <w:rsid w:val="005E13BB"/>
    <w:rsid w:val="005E2BB3"/>
    <w:rsid w:val="005E4D38"/>
    <w:rsid w:val="005F2349"/>
    <w:rsid w:val="005F30CE"/>
    <w:rsid w:val="005F4298"/>
    <w:rsid w:val="005F576F"/>
    <w:rsid w:val="0060059B"/>
    <w:rsid w:val="006029AB"/>
    <w:rsid w:val="0060339B"/>
    <w:rsid w:val="00604089"/>
    <w:rsid w:val="006049D8"/>
    <w:rsid w:val="00606F06"/>
    <w:rsid w:val="0061143B"/>
    <w:rsid w:val="0061703A"/>
    <w:rsid w:val="006179C1"/>
    <w:rsid w:val="00624356"/>
    <w:rsid w:val="00625D6F"/>
    <w:rsid w:val="00627882"/>
    <w:rsid w:val="00632341"/>
    <w:rsid w:val="00636715"/>
    <w:rsid w:val="00636E27"/>
    <w:rsid w:val="00640B59"/>
    <w:rsid w:val="00641BB7"/>
    <w:rsid w:val="00641BCA"/>
    <w:rsid w:val="0064543A"/>
    <w:rsid w:val="006458C0"/>
    <w:rsid w:val="00645C2D"/>
    <w:rsid w:val="00647009"/>
    <w:rsid w:val="00650AC2"/>
    <w:rsid w:val="00652B3E"/>
    <w:rsid w:val="006536A3"/>
    <w:rsid w:val="0065373A"/>
    <w:rsid w:val="00662FA7"/>
    <w:rsid w:val="00663CD8"/>
    <w:rsid w:val="00665133"/>
    <w:rsid w:val="00665D91"/>
    <w:rsid w:val="00673549"/>
    <w:rsid w:val="00680FC4"/>
    <w:rsid w:val="00685FF8"/>
    <w:rsid w:val="00686044"/>
    <w:rsid w:val="00692F92"/>
    <w:rsid w:val="006935AA"/>
    <w:rsid w:val="00693E9A"/>
    <w:rsid w:val="006955E8"/>
    <w:rsid w:val="006A5DD4"/>
    <w:rsid w:val="006B1281"/>
    <w:rsid w:val="006B53A5"/>
    <w:rsid w:val="006B5770"/>
    <w:rsid w:val="006C0EFA"/>
    <w:rsid w:val="006C3770"/>
    <w:rsid w:val="006C4996"/>
    <w:rsid w:val="006D0058"/>
    <w:rsid w:val="006D2192"/>
    <w:rsid w:val="006D4F2A"/>
    <w:rsid w:val="006E0E8D"/>
    <w:rsid w:val="006E2160"/>
    <w:rsid w:val="006E2317"/>
    <w:rsid w:val="006E5545"/>
    <w:rsid w:val="006E5DFB"/>
    <w:rsid w:val="006E68C7"/>
    <w:rsid w:val="006F1996"/>
    <w:rsid w:val="006F1B49"/>
    <w:rsid w:val="006F1F2B"/>
    <w:rsid w:val="006F2ADE"/>
    <w:rsid w:val="006F3841"/>
    <w:rsid w:val="00703FCF"/>
    <w:rsid w:val="0070620F"/>
    <w:rsid w:val="00707E0B"/>
    <w:rsid w:val="00712242"/>
    <w:rsid w:val="0071288D"/>
    <w:rsid w:val="00712CFD"/>
    <w:rsid w:val="00722C08"/>
    <w:rsid w:val="007239B6"/>
    <w:rsid w:val="00724F8E"/>
    <w:rsid w:val="007264BA"/>
    <w:rsid w:val="00727BE3"/>
    <w:rsid w:val="00732A73"/>
    <w:rsid w:val="00733450"/>
    <w:rsid w:val="007351B7"/>
    <w:rsid w:val="00735C0C"/>
    <w:rsid w:val="00736D12"/>
    <w:rsid w:val="00737BB7"/>
    <w:rsid w:val="00745DDB"/>
    <w:rsid w:val="00745DF3"/>
    <w:rsid w:val="00761E54"/>
    <w:rsid w:val="007623A0"/>
    <w:rsid w:val="00763ED7"/>
    <w:rsid w:val="00764F51"/>
    <w:rsid w:val="00766680"/>
    <w:rsid w:val="00770649"/>
    <w:rsid w:val="007725E5"/>
    <w:rsid w:val="007736BE"/>
    <w:rsid w:val="00786639"/>
    <w:rsid w:val="00786988"/>
    <w:rsid w:val="00786F35"/>
    <w:rsid w:val="00787FDD"/>
    <w:rsid w:val="0079451B"/>
    <w:rsid w:val="00794B95"/>
    <w:rsid w:val="00796BB5"/>
    <w:rsid w:val="007A1A9C"/>
    <w:rsid w:val="007A268D"/>
    <w:rsid w:val="007A2F8E"/>
    <w:rsid w:val="007A3FF2"/>
    <w:rsid w:val="007A4396"/>
    <w:rsid w:val="007A54B3"/>
    <w:rsid w:val="007A5DC2"/>
    <w:rsid w:val="007A74D9"/>
    <w:rsid w:val="007A7DA8"/>
    <w:rsid w:val="007B0D1B"/>
    <w:rsid w:val="007B127E"/>
    <w:rsid w:val="007B6C33"/>
    <w:rsid w:val="007C1E66"/>
    <w:rsid w:val="007C2088"/>
    <w:rsid w:val="007C5909"/>
    <w:rsid w:val="007D2C47"/>
    <w:rsid w:val="007D3362"/>
    <w:rsid w:val="007E3345"/>
    <w:rsid w:val="007F0DB9"/>
    <w:rsid w:val="007F4F63"/>
    <w:rsid w:val="007F76CC"/>
    <w:rsid w:val="00800ED0"/>
    <w:rsid w:val="00802F3A"/>
    <w:rsid w:val="008051DC"/>
    <w:rsid w:val="0081040B"/>
    <w:rsid w:val="008116BB"/>
    <w:rsid w:val="008152EB"/>
    <w:rsid w:val="00815E04"/>
    <w:rsid w:val="0081600B"/>
    <w:rsid w:val="00820FBA"/>
    <w:rsid w:val="00824946"/>
    <w:rsid w:val="00824A32"/>
    <w:rsid w:val="008262A0"/>
    <w:rsid w:val="008267A7"/>
    <w:rsid w:val="00826EDE"/>
    <w:rsid w:val="00827890"/>
    <w:rsid w:val="008324F2"/>
    <w:rsid w:val="0083468D"/>
    <w:rsid w:val="00836869"/>
    <w:rsid w:val="00841DC4"/>
    <w:rsid w:val="008421D2"/>
    <w:rsid w:val="00845A27"/>
    <w:rsid w:val="008512DD"/>
    <w:rsid w:val="00851993"/>
    <w:rsid w:val="00852D0A"/>
    <w:rsid w:val="00852EA0"/>
    <w:rsid w:val="00854854"/>
    <w:rsid w:val="00856824"/>
    <w:rsid w:val="00857F63"/>
    <w:rsid w:val="00860524"/>
    <w:rsid w:val="00860746"/>
    <w:rsid w:val="00860A4D"/>
    <w:rsid w:val="00866A2E"/>
    <w:rsid w:val="008678FC"/>
    <w:rsid w:val="0087230C"/>
    <w:rsid w:val="008743F5"/>
    <w:rsid w:val="00880355"/>
    <w:rsid w:val="00880FB2"/>
    <w:rsid w:val="0088394A"/>
    <w:rsid w:val="00887C15"/>
    <w:rsid w:val="00890917"/>
    <w:rsid w:val="00895299"/>
    <w:rsid w:val="008A2991"/>
    <w:rsid w:val="008A3E5B"/>
    <w:rsid w:val="008B09BB"/>
    <w:rsid w:val="008B0D3A"/>
    <w:rsid w:val="008B2DF7"/>
    <w:rsid w:val="008B35E0"/>
    <w:rsid w:val="008B3D73"/>
    <w:rsid w:val="008B7A60"/>
    <w:rsid w:val="008C077C"/>
    <w:rsid w:val="008C412F"/>
    <w:rsid w:val="008C5CCD"/>
    <w:rsid w:val="008C7D25"/>
    <w:rsid w:val="008D0FAE"/>
    <w:rsid w:val="008D1312"/>
    <w:rsid w:val="008D2C76"/>
    <w:rsid w:val="008D3AE0"/>
    <w:rsid w:val="008D6D25"/>
    <w:rsid w:val="008E0D6A"/>
    <w:rsid w:val="008E5FA0"/>
    <w:rsid w:val="008E75E1"/>
    <w:rsid w:val="008F2A77"/>
    <w:rsid w:val="008F436D"/>
    <w:rsid w:val="008F4429"/>
    <w:rsid w:val="008F5F44"/>
    <w:rsid w:val="009001C1"/>
    <w:rsid w:val="00900852"/>
    <w:rsid w:val="009008BD"/>
    <w:rsid w:val="009079AE"/>
    <w:rsid w:val="009109FC"/>
    <w:rsid w:val="009128E5"/>
    <w:rsid w:val="00913641"/>
    <w:rsid w:val="00915505"/>
    <w:rsid w:val="009176B9"/>
    <w:rsid w:val="00920FD8"/>
    <w:rsid w:val="00921EBD"/>
    <w:rsid w:val="00926BDB"/>
    <w:rsid w:val="00926D64"/>
    <w:rsid w:val="00927BCE"/>
    <w:rsid w:val="00927D2A"/>
    <w:rsid w:val="00930FE4"/>
    <w:rsid w:val="00931314"/>
    <w:rsid w:val="00933A53"/>
    <w:rsid w:val="00936BAB"/>
    <w:rsid w:val="0094077D"/>
    <w:rsid w:val="009442C5"/>
    <w:rsid w:val="0094600F"/>
    <w:rsid w:val="009535E6"/>
    <w:rsid w:val="00955AC2"/>
    <w:rsid w:val="00957989"/>
    <w:rsid w:val="009608EA"/>
    <w:rsid w:val="009660E3"/>
    <w:rsid w:val="009706ED"/>
    <w:rsid w:val="00971777"/>
    <w:rsid w:val="00972A6E"/>
    <w:rsid w:val="00975C69"/>
    <w:rsid w:val="00976985"/>
    <w:rsid w:val="0097738F"/>
    <w:rsid w:val="00980859"/>
    <w:rsid w:val="00981861"/>
    <w:rsid w:val="0098391E"/>
    <w:rsid w:val="0098661C"/>
    <w:rsid w:val="00986B86"/>
    <w:rsid w:val="00987A80"/>
    <w:rsid w:val="00991DD0"/>
    <w:rsid w:val="009939F1"/>
    <w:rsid w:val="0099561F"/>
    <w:rsid w:val="009A0234"/>
    <w:rsid w:val="009A0773"/>
    <w:rsid w:val="009A5E1A"/>
    <w:rsid w:val="009B2C0C"/>
    <w:rsid w:val="009B4E60"/>
    <w:rsid w:val="009B5B4F"/>
    <w:rsid w:val="009C567F"/>
    <w:rsid w:val="009C746B"/>
    <w:rsid w:val="009C7A17"/>
    <w:rsid w:val="009D25BB"/>
    <w:rsid w:val="009D50FC"/>
    <w:rsid w:val="009E0ACB"/>
    <w:rsid w:val="009E1654"/>
    <w:rsid w:val="009E5058"/>
    <w:rsid w:val="009E73AF"/>
    <w:rsid w:val="009E7935"/>
    <w:rsid w:val="009E7CCA"/>
    <w:rsid w:val="009F1923"/>
    <w:rsid w:val="009F2174"/>
    <w:rsid w:val="009F23A2"/>
    <w:rsid w:val="009F27E6"/>
    <w:rsid w:val="009F2FA7"/>
    <w:rsid w:val="009F67F9"/>
    <w:rsid w:val="00A0233B"/>
    <w:rsid w:val="00A026F7"/>
    <w:rsid w:val="00A0563F"/>
    <w:rsid w:val="00A15F69"/>
    <w:rsid w:val="00A20C54"/>
    <w:rsid w:val="00A22B73"/>
    <w:rsid w:val="00A236AD"/>
    <w:rsid w:val="00A23807"/>
    <w:rsid w:val="00A246D0"/>
    <w:rsid w:val="00A330BC"/>
    <w:rsid w:val="00A33B48"/>
    <w:rsid w:val="00A33F80"/>
    <w:rsid w:val="00A35708"/>
    <w:rsid w:val="00A37977"/>
    <w:rsid w:val="00A42F23"/>
    <w:rsid w:val="00A44850"/>
    <w:rsid w:val="00A47A52"/>
    <w:rsid w:val="00A55C6E"/>
    <w:rsid w:val="00A561B9"/>
    <w:rsid w:val="00A5782A"/>
    <w:rsid w:val="00A71C11"/>
    <w:rsid w:val="00A75593"/>
    <w:rsid w:val="00A77EEF"/>
    <w:rsid w:val="00A8018E"/>
    <w:rsid w:val="00A817F1"/>
    <w:rsid w:val="00A81D48"/>
    <w:rsid w:val="00A84F1A"/>
    <w:rsid w:val="00A8573E"/>
    <w:rsid w:val="00A91162"/>
    <w:rsid w:val="00A92D2F"/>
    <w:rsid w:val="00A96B16"/>
    <w:rsid w:val="00AA52A7"/>
    <w:rsid w:val="00AA79BC"/>
    <w:rsid w:val="00AA7CBB"/>
    <w:rsid w:val="00AB356A"/>
    <w:rsid w:val="00AB489B"/>
    <w:rsid w:val="00AB6B81"/>
    <w:rsid w:val="00AB6BB5"/>
    <w:rsid w:val="00AB7BFD"/>
    <w:rsid w:val="00AC0BED"/>
    <w:rsid w:val="00AC25FA"/>
    <w:rsid w:val="00AC2ECB"/>
    <w:rsid w:val="00AC302C"/>
    <w:rsid w:val="00AD26DA"/>
    <w:rsid w:val="00AD44CF"/>
    <w:rsid w:val="00AD4889"/>
    <w:rsid w:val="00AE5F97"/>
    <w:rsid w:val="00AF47DD"/>
    <w:rsid w:val="00AF4C67"/>
    <w:rsid w:val="00AF510B"/>
    <w:rsid w:val="00AF5CAA"/>
    <w:rsid w:val="00AF6F99"/>
    <w:rsid w:val="00B0524D"/>
    <w:rsid w:val="00B10485"/>
    <w:rsid w:val="00B2366D"/>
    <w:rsid w:val="00B249ED"/>
    <w:rsid w:val="00B3028F"/>
    <w:rsid w:val="00B33397"/>
    <w:rsid w:val="00B35D4F"/>
    <w:rsid w:val="00B3765C"/>
    <w:rsid w:val="00B40ACC"/>
    <w:rsid w:val="00B4549B"/>
    <w:rsid w:val="00B50459"/>
    <w:rsid w:val="00B50CC1"/>
    <w:rsid w:val="00B522F6"/>
    <w:rsid w:val="00B57A78"/>
    <w:rsid w:val="00B612F2"/>
    <w:rsid w:val="00B62F76"/>
    <w:rsid w:val="00B653C6"/>
    <w:rsid w:val="00B67F6B"/>
    <w:rsid w:val="00B71229"/>
    <w:rsid w:val="00B71B00"/>
    <w:rsid w:val="00B727CA"/>
    <w:rsid w:val="00B72C17"/>
    <w:rsid w:val="00B74330"/>
    <w:rsid w:val="00B75672"/>
    <w:rsid w:val="00B759C9"/>
    <w:rsid w:val="00B83874"/>
    <w:rsid w:val="00B83B84"/>
    <w:rsid w:val="00B85247"/>
    <w:rsid w:val="00B92E7A"/>
    <w:rsid w:val="00B92E84"/>
    <w:rsid w:val="00B94F85"/>
    <w:rsid w:val="00B95B55"/>
    <w:rsid w:val="00BA34CD"/>
    <w:rsid w:val="00BA62B3"/>
    <w:rsid w:val="00BB4CFA"/>
    <w:rsid w:val="00BC243A"/>
    <w:rsid w:val="00BC348F"/>
    <w:rsid w:val="00BD0041"/>
    <w:rsid w:val="00BD2615"/>
    <w:rsid w:val="00BD2DDF"/>
    <w:rsid w:val="00BD5379"/>
    <w:rsid w:val="00BD57EA"/>
    <w:rsid w:val="00BE1F44"/>
    <w:rsid w:val="00BE299B"/>
    <w:rsid w:val="00BE4DF6"/>
    <w:rsid w:val="00BE704E"/>
    <w:rsid w:val="00BE7599"/>
    <w:rsid w:val="00BF40C6"/>
    <w:rsid w:val="00BF507B"/>
    <w:rsid w:val="00BF7FE6"/>
    <w:rsid w:val="00C00021"/>
    <w:rsid w:val="00C00D78"/>
    <w:rsid w:val="00C02EBE"/>
    <w:rsid w:val="00C1041B"/>
    <w:rsid w:val="00C11209"/>
    <w:rsid w:val="00C11F7A"/>
    <w:rsid w:val="00C11F80"/>
    <w:rsid w:val="00C12015"/>
    <w:rsid w:val="00C135F4"/>
    <w:rsid w:val="00C152CC"/>
    <w:rsid w:val="00C152D0"/>
    <w:rsid w:val="00C15BC2"/>
    <w:rsid w:val="00C15CFD"/>
    <w:rsid w:val="00C16559"/>
    <w:rsid w:val="00C16B85"/>
    <w:rsid w:val="00C21951"/>
    <w:rsid w:val="00C21A52"/>
    <w:rsid w:val="00C21FE0"/>
    <w:rsid w:val="00C23000"/>
    <w:rsid w:val="00C2531B"/>
    <w:rsid w:val="00C25440"/>
    <w:rsid w:val="00C30671"/>
    <w:rsid w:val="00C30D6E"/>
    <w:rsid w:val="00C32C30"/>
    <w:rsid w:val="00C339C9"/>
    <w:rsid w:val="00C35A47"/>
    <w:rsid w:val="00C37B3A"/>
    <w:rsid w:val="00C40249"/>
    <w:rsid w:val="00C4172A"/>
    <w:rsid w:val="00C42250"/>
    <w:rsid w:val="00C52223"/>
    <w:rsid w:val="00C538DC"/>
    <w:rsid w:val="00C560B9"/>
    <w:rsid w:val="00C62AE4"/>
    <w:rsid w:val="00C632E7"/>
    <w:rsid w:val="00C6513C"/>
    <w:rsid w:val="00C66D31"/>
    <w:rsid w:val="00C74023"/>
    <w:rsid w:val="00C86B3B"/>
    <w:rsid w:val="00C87406"/>
    <w:rsid w:val="00C87CAC"/>
    <w:rsid w:val="00C87E61"/>
    <w:rsid w:val="00C92DAB"/>
    <w:rsid w:val="00C9600B"/>
    <w:rsid w:val="00C960BE"/>
    <w:rsid w:val="00C97187"/>
    <w:rsid w:val="00CA4166"/>
    <w:rsid w:val="00CA75CD"/>
    <w:rsid w:val="00CB2D0E"/>
    <w:rsid w:val="00CB35AE"/>
    <w:rsid w:val="00CB4523"/>
    <w:rsid w:val="00CC280A"/>
    <w:rsid w:val="00CD0A5D"/>
    <w:rsid w:val="00CD0E07"/>
    <w:rsid w:val="00CD1670"/>
    <w:rsid w:val="00CD213D"/>
    <w:rsid w:val="00CD56F0"/>
    <w:rsid w:val="00CD579C"/>
    <w:rsid w:val="00CD57F9"/>
    <w:rsid w:val="00CD760C"/>
    <w:rsid w:val="00CE1350"/>
    <w:rsid w:val="00CE2A3D"/>
    <w:rsid w:val="00CE4275"/>
    <w:rsid w:val="00CE4BDB"/>
    <w:rsid w:val="00CE5E23"/>
    <w:rsid w:val="00CF6781"/>
    <w:rsid w:val="00D06505"/>
    <w:rsid w:val="00D1390B"/>
    <w:rsid w:val="00D15EB5"/>
    <w:rsid w:val="00D16038"/>
    <w:rsid w:val="00D17A4C"/>
    <w:rsid w:val="00D316B3"/>
    <w:rsid w:val="00D32A21"/>
    <w:rsid w:val="00D357C0"/>
    <w:rsid w:val="00D35981"/>
    <w:rsid w:val="00D359CC"/>
    <w:rsid w:val="00D37B70"/>
    <w:rsid w:val="00D4091C"/>
    <w:rsid w:val="00D42DB2"/>
    <w:rsid w:val="00D43533"/>
    <w:rsid w:val="00D4371B"/>
    <w:rsid w:val="00D577D0"/>
    <w:rsid w:val="00D6004A"/>
    <w:rsid w:val="00D642E4"/>
    <w:rsid w:val="00D66262"/>
    <w:rsid w:val="00D67879"/>
    <w:rsid w:val="00D7005E"/>
    <w:rsid w:val="00D72FD1"/>
    <w:rsid w:val="00D73796"/>
    <w:rsid w:val="00D76562"/>
    <w:rsid w:val="00D84BFE"/>
    <w:rsid w:val="00D8618F"/>
    <w:rsid w:val="00D912D1"/>
    <w:rsid w:val="00D948C4"/>
    <w:rsid w:val="00D94B5E"/>
    <w:rsid w:val="00DA0A0B"/>
    <w:rsid w:val="00DA0D13"/>
    <w:rsid w:val="00DA610D"/>
    <w:rsid w:val="00DA74D4"/>
    <w:rsid w:val="00DB2E19"/>
    <w:rsid w:val="00DB305A"/>
    <w:rsid w:val="00DB3769"/>
    <w:rsid w:val="00DB6E8B"/>
    <w:rsid w:val="00DC5DFB"/>
    <w:rsid w:val="00DC60BC"/>
    <w:rsid w:val="00DD2819"/>
    <w:rsid w:val="00DD64F4"/>
    <w:rsid w:val="00DE0680"/>
    <w:rsid w:val="00DE0D1D"/>
    <w:rsid w:val="00DE1D07"/>
    <w:rsid w:val="00DE375D"/>
    <w:rsid w:val="00DE4CC4"/>
    <w:rsid w:val="00DF0ABA"/>
    <w:rsid w:val="00DF16F7"/>
    <w:rsid w:val="00DF3416"/>
    <w:rsid w:val="00DF3C4F"/>
    <w:rsid w:val="00DF448E"/>
    <w:rsid w:val="00DF5B1A"/>
    <w:rsid w:val="00E01F73"/>
    <w:rsid w:val="00E051DE"/>
    <w:rsid w:val="00E05518"/>
    <w:rsid w:val="00E107C7"/>
    <w:rsid w:val="00E1088B"/>
    <w:rsid w:val="00E12396"/>
    <w:rsid w:val="00E16687"/>
    <w:rsid w:val="00E2236A"/>
    <w:rsid w:val="00E22ACB"/>
    <w:rsid w:val="00E27796"/>
    <w:rsid w:val="00E305B8"/>
    <w:rsid w:val="00E32421"/>
    <w:rsid w:val="00E35365"/>
    <w:rsid w:val="00E37208"/>
    <w:rsid w:val="00E41DB8"/>
    <w:rsid w:val="00E42731"/>
    <w:rsid w:val="00E42A2E"/>
    <w:rsid w:val="00E4629B"/>
    <w:rsid w:val="00E46DE5"/>
    <w:rsid w:val="00E4715E"/>
    <w:rsid w:val="00E60767"/>
    <w:rsid w:val="00E6278B"/>
    <w:rsid w:val="00E656C6"/>
    <w:rsid w:val="00E65985"/>
    <w:rsid w:val="00E66414"/>
    <w:rsid w:val="00E71B43"/>
    <w:rsid w:val="00E7305A"/>
    <w:rsid w:val="00E74E36"/>
    <w:rsid w:val="00E75259"/>
    <w:rsid w:val="00E757DB"/>
    <w:rsid w:val="00E7653C"/>
    <w:rsid w:val="00E81A36"/>
    <w:rsid w:val="00E8318E"/>
    <w:rsid w:val="00E91C2B"/>
    <w:rsid w:val="00E96405"/>
    <w:rsid w:val="00E97E5E"/>
    <w:rsid w:val="00EA3805"/>
    <w:rsid w:val="00EA384F"/>
    <w:rsid w:val="00EA582A"/>
    <w:rsid w:val="00EB2686"/>
    <w:rsid w:val="00EB3052"/>
    <w:rsid w:val="00EB3BAB"/>
    <w:rsid w:val="00EB4B7B"/>
    <w:rsid w:val="00EB5734"/>
    <w:rsid w:val="00EB7FBA"/>
    <w:rsid w:val="00EC3508"/>
    <w:rsid w:val="00EC4947"/>
    <w:rsid w:val="00EC4EAD"/>
    <w:rsid w:val="00ED30B5"/>
    <w:rsid w:val="00ED7BB0"/>
    <w:rsid w:val="00EE3113"/>
    <w:rsid w:val="00EE3C03"/>
    <w:rsid w:val="00EE402D"/>
    <w:rsid w:val="00EE504E"/>
    <w:rsid w:val="00EF22A6"/>
    <w:rsid w:val="00EF2A85"/>
    <w:rsid w:val="00EF2DBC"/>
    <w:rsid w:val="00EF4B93"/>
    <w:rsid w:val="00EF56C6"/>
    <w:rsid w:val="00EF73BF"/>
    <w:rsid w:val="00F00DF3"/>
    <w:rsid w:val="00F01A38"/>
    <w:rsid w:val="00F01C53"/>
    <w:rsid w:val="00F074C7"/>
    <w:rsid w:val="00F13D07"/>
    <w:rsid w:val="00F15AC9"/>
    <w:rsid w:val="00F16508"/>
    <w:rsid w:val="00F17089"/>
    <w:rsid w:val="00F202DE"/>
    <w:rsid w:val="00F21B89"/>
    <w:rsid w:val="00F30BC5"/>
    <w:rsid w:val="00F30F83"/>
    <w:rsid w:val="00F31D46"/>
    <w:rsid w:val="00F33A57"/>
    <w:rsid w:val="00F33B17"/>
    <w:rsid w:val="00F42DE6"/>
    <w:rsid w:val="00F449D9"/>
    <w:rsid w:val="00F47050"/>
    <w:rsid w:val="00F501DD"/>
    <w:rsid w:val="00F527D6"/>
    <w:rsid w:val="00F56CE9"/>
    <w:rsid w:val="00F5723B"/>
    <w:rsid w:val="00F6254A"/>
    <w:rsid w:val="00F67E7D"/>
    <w:rsid w:val="00F7094B"/>
    <w:rsid w:val="00F77723"/>
    <w:rsid w:val="00F80ED8"/>
    <w:rsid w:val="00F82604"/>
    <w:rsid w:val="00F84A6F"/>
    <w:rsid w:val="00F92852"/>
    <w:rsid w:val="00F93B21"/>
    <w:rsid w:val="00F94EEC"/>
    <w:rsid w:val="00F963C7"/>
    <w:rsid w:val="00F9647F"/>
    <w:rsid w:val="00FA20D8"/>
    <w:rsid w:val="00FB267B"/>
    <w:rsid w:val="00FB3A1F"/>
    <w:rsid w:val="00FB4A89"/>
    <w:rsid w:val="00FB4F8A"/>
    <w:rsid w:val="00FC2C6A"/>
    <w:rsid w:val="00FC31A4"/>
    <w:rsid w:val="00FC4C41"/>
    <w:rsid w:val="00FC554D"/>
    <w:rsid w:val="00FC760F"/>
    <w:rsid w:val="00FD0E7F"/>
    <w:rsid w:val="00FD45AE"/>
    <w:rsid w:val="00FD4766"/>
    <w:rsid w:val="00FD5965"/>
    <w:rsid w:val="00FD727F"/>
    <w:rsid w:val="00FE1E84"/>
    <w:rsid w:val="00FE1E87"/>
    <w:rsid w:val="00FE4922"/>
    <w:rsid w:val="00FE4CC1"/>
    <w:rsid w:val="00FF06A5"/>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B6"/>
    <w:pPr>
      <w:spacing w:after="200" w:line="276" w:lineRule="auto"/>
    </w:pPr>
    <w:rPr>
      <w:lang w:val="en-GB"/>
    </w:rPr>
  </w:style>
  <w:style w:type="paragraph" w:styleId="Heading1">
    <w:name w:val="heading 1"/>
    <w:basedOn w:val="Normal"/>
    <w:next w:val="Normal"/>
    <w:link w:val="Heading1Char"/>
    <w:uiPriority w:val="99"/>
    <w:qFormat/>
    <w:rsid w:val="00AB7BFD"/>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AB7BFD"/>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AB7BFD"/>
    <w:pPr>
      <w:keepNext/>
      <w:keepLines/>
      <w:spacing w:before="40" w:after="0"/>
      <w:outlineLvl w:val="2"/>
    </w:pPr>
    <w:rPr>
      <w:rFonts w:ascii="Cambria" w:eastAsia="Times New Roman" w:hAnsi="Cambria"/>
      <w:color w:val="243F60"/>
      <w:sz w:val="24"/>
      <w:szCs w:val="24"/>
    </w:rPr>
  </w:style>
  <w:style w:type="paragraph" w:styleId="Heading5">
    <w:name w:val="heading 5"/>
    <w:basedOn w:val="Normal"/>
    <w:link w:val="Heading5Char"/>
    <w:uiPriority w:val="99"/>
    <w:qFormat/>
    <w:rsid w:val="00AE5F97"/>
    <w:pPr>
      <w:spacing w:before="100" w:beforeAutospacing="1" w:after="100" w:afterAutospacing="1" w:line="240" w:lineRule="auto"/>
      <w:outlineLvl w:val="4"/>
    </w:pPr>
    <w:rPr>
      <w:rFonts w:ascii="Times New Roman" w:eastAsia="Times New Roman" w:hAnsi="Times New Roman"/>
      <w:b/>
      <w:bCs/>
      <w:sz w:val="20"/>
      <w:szCs w:val="20"/>
      <w:lang w:val="nl-NL" w:eastAsia="nl-NL"/>
    </w:rPr>
  </w:style>
  <w:style w:type="paragraph" w:styleId="Heading6">
    <w:name w:val="heading 6"/>
    <w:basedOn w:val="Normal"/>
    <w:link w:val="Heading6Char"/>
    <w:uiPriority w:val="99"/>
    <w:qFormat/>
    <w:rsid w:val="00AE5F97"/>
    <w:pPr>
      <w:spacing w:before="100" w:beforeAutospacing="1" w:after="100" w:afterAutospacing="1" w:line="240" w:lineRule="auto"/>
      <w:outlineLvl w:val="5"/>
    </w:pPr>
    <w:rPr>
      <w:rFonts w:ascii="Times New Roman" w:eastAsia="Times New Roman" w:hAnsi="Times New Roman"/>
      <w:b/>
      <w:bCs/>
      <w:sz w:val="15"/>
      <w:szCs w:val="15"/>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BFD"/>
    <w:rPr>
      <w:rFonts w:ascii="Cambria" w:hAnsi="Cambria" w:cs="Times New Roman"/>
      <w:color w:val="365F91"/>
      <w:sz w:val="32"/>
      <w:szCs w:val="32"/>
      <w:lang w:val="en-GB"/>
    </w:rPr>
  </w:style>
  <w:style w:type="character" w:customStyle="1" w:styleId="Heading2Char">
    <w:name w:val="Heading 2 Char"/>
    <w:basedOn w:val="DefaultParagraphFont"/>
    <w:link w:val="Heading2"/>
    <w:uiPriority w:val="99"/>
    <w:semiHidden/>
    <w:locked/>
    <w:rsid w:val="00AB7BFD"/>
    <w:rPr>
      <w:rFonts w:ascii="Cambria" w:hAnsi="Cambria" w:cs="Times New Roman"/>
      <w:color w:val="365F91"/>
      <w:sz w:val="26"/>
      <w:szCs w:val="26"/>
      <w:lang w:val="en-GB"/>
    </w:rPr>
  </w:style>
  <w:style w:type="character" w:customStyle="1" w:styleId="Heading3Char">
    <w:name w:val="Heading 3 Char"/>
    <w:basedOn w:val="DefaultParagraphFont"/>
    <w:link w:val="Heading3"/>
    <w:uiPriority w:val="99"/>
    <w:semiHidden/>
    <w:locked/>
    <w:rsid w:val="00AB7BFD"/>
    <w:rPr>
      <w:rFonts w:ascii="Cambria" w:hAnsi="Cambria" w:cs="Times New Roman"/>
      <w:color w:val="243F60"/>
      <w:sz w:val="24"/>
      <w:szCs w:val="24"/>
      <w:lang w:val="en-GB"/>
    </w:rPr>
  </w:style>
  <w:style w:type="character" w:customStyle="1" w:styleId="Heading5Char">
    <w:name w:val="Heading 5 Char"/>
    <w:basedOn w:val="DefaultParagraphFont"/>
    <w:link w:val="Heading5"/>
    <w:uiPriority w:val="99"/>
    <w:locked/>
    <w:rsid w:val="00AE5F97"/>
    <w:rPr>
      <w:rFonts w:ascii="Times New Roman" w:hAnsi="Times New Roman" w:cs="Times New Roman"/>
      <w:b/>
      <w:bCs/>
      <w:sz w:val="20"/>
      <w:szCs w:val="20"/>
      <w:lang w:eastAsia="nl-NL"/>
    </w:rPr>
  </w:style>
  <w:style w:type="character" w:customStyle="1" w:styleId="Heading6Char">
    <w:name w:val="Heading 6 Char"/>
    <w:basedOn w:val="DefaultParagraphFont"/>
    <w:link w:val="Heading6"/>
    <w:uiPriority w:val="99"/>
    <w:locked/>
    <w:rsid w:val="00AE5F97"/>
    <w:rPr>
      <w:rFonts w:ascii="Times New Roman" w:hAnsi="Times New Roman" w:cs="Times New Roman"/>
      <w:b/>
      <w:bCs/>
      <w:sz w:val="15"/>
      <w:szCs w:val="15"/>
      <w:lang w:eastAsia="nl-NL"/>
    </w:rPr>
  </w:style>
  <w:style w:type="paragraph" w:styleId="NormalWeb">
    <w:name w:val="Normal (Web)"/>
    <w:basedOn w:val="Normal"/>
    <w:uiPriority w:val="99"/>
    <w:semiHidden/>
    <w:rsid w:val="00AE5F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apple-converted-space">
    <w:name w:val="apple-converted-space"/>
    <w:basedOn w:val="DefaultParagraphFont"/>
    <w:uiPriority w:val="99"/>
    <w:rsid w:val="00AE5F97"/>
    <w:rPr>
      <w:rFonts w:cs="Times New Roman"/>
    </w:rPr>
  </w:style>
  <w:style w:type="character" w:styleId="Strong">
    <w:name w:val="Strong"/>
    <w:basedOn w:val="DefaultParagraphFont"/>
    <w:uiPriority w:val="99"/>
    <w:qFormat/>
    <w:rsid w:val="00AE5F97"/>
    <w:rPr>
      <w:rFonts w:cs="Times New Roman"/>
      <w:b/>
      <w:bCs/>
    </w:rPr>
  </w:style>
  <w:style w:type="character" w:styleId="CommentReference">
    <w:name w:val="annotation reference"/>
    <w:basedOn w:val="DefaultParagraphFont"/>
    <w:uiPriority w:val="99"/>
    <w:semiHidden/>
    <w:rsid w:val="0045151E"/>
    <w:rPr>
      <w:rFonts w:cs="Times New Roman"/>
      <w:sz w:val="16"/>
      <w:szCs w:val="16"/>
    </w:rPr>
  </w:style>
  <w:style w:type="paragraph" w:styleId="CommentText">
    <w:name w:val="annotation text"/>
    <w:basedOn w:val="Normal"/>
    <w:link w:val="CommentTextChar"/>
    <w:uiPriority w:val="99"/>
    <w:semiHidden/>
    <w:rsid w:val="0045151E"/>
    <w:pPr>
      <w:spacing w:after="0" w:line="240" w:lineRule="auto"/>
    </w:pPr>
    <w:rPr>
      <w:rFonts w:eastAsia="Times New Roman"/>
      <w:sz w:val="20"/>
      <w:szCs w:val="20"/>
      <w:lang w:val="nl-NL"/>
    </w:rPr>
  </w:style>
  <w:style w:type="character" w:customStyle="1" w:styleId="CommentTextChar">
    <w:name w:val="Comment Text Char"/>
    <w:basedOn w:val="DefaultParagraphFont"/>
    <w:link w:val="CommentText"/>
    <w:uiPriority w:val="99"/>
    <w:semiHidden/>
    <w:locked/>
    <w:rsid w:val="0045151E"/>
    <w:rPr>
      <w:rFonts w:ascii="Calibri" w:hAnsi="Calibri" w:cs="Times New Roman"/>
      <w:sz w:val="20"/>
      <w:szCs w:val="20"/>
    </w:rPr>
  </w:style>
  <w:style w:type="paragraph" w:styleId="BalloonText">
    <w:name w:val="Balloon Text"/>
    <w:basedOn w:val="Normal"/>
    <w:link w:val="BalloonTextChar"/>
    <w:uiPriority w:val="99"/>
    <w:semiHidden/>
    <w:rsid w:val="0045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151E"/>
    <w:rPr>
      <w:rFonts w:ascii="Segoe UI" w:hAnsi="Segoe UI" w:cs="Segoe UI"/>
      <w:sz w:val="18"/>
      <w:szCs w:val="18"/>
      <w:lang w:val="en-GB"/>
    </w:rPr>
  </w:style>
  <w:style w:type="paragraph" w:styleId="ListParagraph">
    <w:name w:val="List Paragraph"/>
    <w:basedOn w:val="Normal"/>
    <w:uiPriority w:val="99"/>
    <w:qFormat/>
    <w:rsid w:val="006F1996"/>
    <w:pPr>
      <w:ind w:left="720"/>
      <w:contextualSpacing/>
    </w:pPr>
  </w:style>
  <w:style w:type="character" w:styleId="Hyperlink">
    <w:name w:val="Hyperlink"/>
    <w:basedOn w:val="DefaultParagraphFont"/>
    <w:uiPriority w:val="99"/>
    <w:rsid w:val="0030634D"/>
    <w:rPr>
      <w:rFonts w:cs="Times New Roman"/>
      <w:color w:val="0000FF"/>
      <w:u w:val="single"/>
    </w:rPr>
  </w:style>
  <w:style w:type="character" w:styleId="FollowedHyperlink">
    <w:name w:val="FollowedHyperlink"/>
    <w:basedOn w:val="DefaultParagraphFont"/>
    <w:uiPriority w:val="99"/>
    <w:semiHidden/>
    <w:rsid w:val="00071E4A"/>
    <w:rPr>
      <w:rFonts w:cs="Times New Roman"/>
      <w:color w:val="800080"/>
      <w:u w:val="single"/>
    </w:rPr>
  </w:style>
  <w:style w:type="paragraph" w:styleId="FootnoteText">
    <w:name w:val="footnote text"/>
    <w:basedOn w:val="Normal"/>
    <w:link w:val="FootnoteTextChar"/>
    <w:uiPriority w:val="99"/>
    <w:semiHidden/>
    <w:rsid w:val="00B94F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94F85"/>
    <w:rPr>
      <w:rFonts w:cs="Times New Roman"/>
      <w:sz w:val="20"/>
      <w:szCs w:val="20"/>
      <w:lang w:val="en-GB"/>
    </w:rPr>
  </w:style>
  <w:style w:type="character" w:styleId="FootnoteReference">
    <w:name w:val="footnote reference"/>
    <w:basedOn w:val="DefaultParagraphFont"/>
    <w:uiPriority w:val="99"/>
    <w:semiHidden/>
    <w:rsid w:val="00B94F85"/>
    <w:rPr>
      <w:rFonts w:cs="Times New Roman"/>
      <w:vertAlign w:val="superscript"/>
    </w:rPr>
  </w:style>
  <w:style w:type="paragraph" w:styleId="Header">
    <w:name w:val="header"/>
    <w:basedOn w:val="Normal"/>
    <w:link w:val="HeaderChar"/>
    <w:uiPriority w:val="99"/>
    <w:rsid w:val="006C0EF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C0EFA"/>
    <w:rPr>
      <w:rFonts w:cs="Times New Roman"/>
      <w:lang w:val="en-GB"/>
    </w:rPr>
  </w:style>
  <w:style w:type="paragraph" w:styleId="Footer">
    <w:name w:val="footer"/>
    <w:basedOn w:val="Normal"/>
    <w:link w:val="FooterChar"/>
    <w:uiPriority w:val="99"/>
    <w:rsid w:val="006C0EF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C0EFA"/>
    <w:rPr>
      <w:rFonts w:cs="Times New Roman"/>
      <w:lang w:val="en-GB"/>
    </w:rPr>
  </w:style>
  <w:style w:type="paragraph" w:styleId="Caption">
    <w:name w:val="caption"/>
    <w:basedOn w:val="Normal"/>
    <w:next w:val="Normal"/>
    <w:uiPriority w:val="99"/>
    <w:qFormat/>
    <w:rsid w:val="00FA20D8"/>
    <w:pPr>
      <w:spacing w:line="240" w:lineRule="auto"/>
    </w:pPr>
    <w:rPr>
      <w:i/>
      <w:iCs/>
      <w:color w:val="1F497D"/>
      <w:sz w:val="18"/>
      <w:szCs w:val="18"/>
    </w:rPr>
  </w:style>
  <w:style w:type="paragraph" w:styleId="CommentSubject">
    <w:name w:val="annotation subject"/>
    <w:basedOn w:val="CommentText"/>
    <w:next w:val="CommentText"/>
    <w:link w:val="CommentSubjectChar"/>
    <w:uiPriority w:val="99"/>
    <w:semiHidden/>
    <w:rsid w:val="008D3AE0"/>
    <w:pPr>
      <w:spacing w:after="200"/>
    </w:pPr>
    <w:rPr>
      <w:rFonts w:eastAsia="Calibri"/>
      <w:b/>
      <w:bCs/>
      <w:lang w:val="en-GB"/>
    </w:rPr>
  </w:style>
  <w:style w:type="character" w:customStyle="1" w:styleId="CommentSubjectChar">
    <w:name w:val="Comment Subject Char"/>
    <w:basedOn w:val="CommentTextChar"/>
    <w:link w:val="CommentSubject"/>
    <w:uiPriority w:val="99"/>
    <w:semiHidden/>
    <w:locked/>
    <w:rsid w:val="008D3AE0"/>
    <w:rPr>
      <w:b/>
      <w:bCs/>
      <w:lang w:val="en-GB"/>
    </w:rPr>
  </w:style>
  <w:style w:type="paragraph" w:styleId="Revision">
    <w:name w:val="Revision"/>
    <w:hidden/>
    <w:uiPriority w:val="99"/>
    <w:semiHidden/>
    <w:rsid w:val="003C2301"/>
    <w:rPr>
      <w:lang w:val="en-GB"/>
    </w:rPr>
  </w:style>
</w:styles>
</file>

<file path=word/webSettings.xml><?xml version="1.0" encoding="utf-8"?>
<w:webSettings xmlns:r="http://schemas.openxmlformats.org/officeDocument/2006/relationships" xmlns:w="http://schemas.openxmlformats.org/wordprocessingml/2006/main">
  <w:divs>
    <w:div w:id="766661690">
      <w:marLeft w:val="0"/>
      <w:marRight w:val="0"/>
      <w:marTop w:val="0"/>
      <w:marBottom w:val="0"/>
      <w:divBdr>
        <w:top w:val="none" w:sz="0" w:space="0" w:color="auto"/>
        <w:left w:val="none" w:sz="0" w:space="0" w:color="auto"/>
        <w:bottom w:val="none" w:sz="0" w:space="0" w:color="auto"/>
        <w:right w:val="none" w:sz="0" w:space="0" w:color="auto"/>
      </w:divBdr>
    </w:div>
    <w:div w:id="766661692">
      <w:marLeft w:val="0"/>
      <w:marRight w:val="0"/>
      <w:marTop w:val="0"/>
      <w:marBottom w:val="0"/>
      <w:divBdr>
        <w:top w:val="none" w:sz="0" w:space="0" w:color="auto"/>
        <w:left w:val="none" w:sz="0" w:space="0" w:color="auto"/>
        <w:bottom w:val="none" w:sz="0" w:space="0" w:color="auto"/>
        <w:right w:val="none" w:sz="0" w:space="0" w:color="auto"/>
      </w:divBdr>
      <w:divsChild>
        <w:div w:id="766661696">
          <w:marLeft w:val="0"/>
          <w:marRight w:val="0"/>
          <w:marTop w:val="0"/>
          <w:marBottom w:val="0"/>
          <w:divBdr>
            <w:top w:val="none" w:sz="0" w:space="0" w:color="auto"/>
            <w:left w:val="none" w:sz="0" w:space="0" w:color="auto"/>
            <w:bottom w:val="none" w:sz="0" w:space="0" w:color="auto"/>
            <w:right w:val="none" w:sz="0" w:space="0" w:color="auto"/>
          </w:divBdr>
        </w:div>
        <w:div w:id="766661699">
          <w:marLeft w:val="0"/>
          <w:marRight w:val="0"/>
          <w:marTop w:val="60"/>
          <w:marBottom w:val="0"/>
          <w:divBdr>
            <w:top w:val="none" w:sz="0" w:space="0" w:color="auto"/>
            <w:left w:val="none" w:sz="0" w:space="0" w:color="auto"/>
            <w:bottom w:val="none" w:sz="0" w:space="0" w:color="auto"/>
            <w:right w:val="none" w:sz="0" w:space="0" w:color="auto"/>
          </w:divBdr>
        </w:div>
        <w:div w:id="766661701">
          <w:marLeft w:val="0"/>
          <w:marRight w:val="0"/>
          <w:marTop w:val="0"/>
          <w:marBottom w:val="75"/>
          <w:divBdr>
            <w:top w:val="none" w:sz="0" w:space="0" w:color="auto"/>
            <w:left w:val="none" w:sz="0" w:space="0" w:color="auto"/>
            <w:bottom w:val="none" w:sz="0" w:space="0" w:color="auto"/>
            <w:right w:val="none" w:sz="0" w:space="0" w:color="auto"/>
          </w:divBdr>
        </w:div>
      </w:divsChild>
    </w:div>
    <w:div w:id="766661694">
      <w:marLeft w:val="0"/>
      <w:marRight w:val="0"/>
      <w:marTop w:val="0"/>
      <w:marBottom w:val="0"/>
      <w:divBdr>
        <w:top w:val="none" w:sz="0" w:space="0" w:color="auto"/>
        <w:left w:val="none" w:sz="0" w:space="0" w:color="auto"/>
        <w:bottom w:val="none" w:sz="0" w:space="0" w:color="auto"/>
        <w:right w:val="none" w:sz="0" w:space="0" w:color="auto"/>
      </w:divBdr>
    </w:div>
    <w:div w:id="766661698">
      <w:marLeft w:val="0"/>
      <w:marRight w:val="0"/>
      <w:marTop w:val="0"/>
      <w:marBottom w:val="0"/>
      <w:divBdr>
        <w:top w:val="none" w:sz="0" w:space="0" w:color="auto"/>
        <w:left w:val="none" w:sz="0" w:space="0" w:color="auto"/>
        <w:bottom w:val="none" w:sz="0" w:space="0" w:color="auto"/>
        <w:right w:val="none" w:sz="0" w:space="0" w:color="auto"/>
      </w:divBdr>
    </w:div>
    <w:div w:id="766661700">
      <w:marLeft w:val="0"/>
      <w:marRight w:val="0"/>
      <w:marTop w:val="0"/>
      <w:marBottom w:val="0"/>
      <w:divBdr>
        <w:top w:val="none" w:sz="0" w:space="0" w:color="auto"/>
        <w:left w:val="none" w:sz="0" w:space="0" w:color="auto"/>
        <w:bottom w:val="none" w:sz="0" w:space="0" w:color="auto"/>
        <w:right w:val="none" w:sz="0" w:space="0" w:color="auto"/>
      </w:divBdr>
      <w:divsChild>
        <w:div w:id="766661695">
          <w:marLeft w:val="0"/>
          <w:marRight w:val="0"/>
          <w:marTop w:val="0"/>
          <w:marBottom w:val="90"/>
          <w:divBdr>
            <w:top w:val="none" w:sz="0" w:space="0" w:color="auto"/>
            <w:left w:val="none" w:sz="0" w:space="0" w:color="auto"/>
            <w:bottom w:val="none" w:sz="0" w:space="0" w:color="auto"/>
            <w:right w:val="none" w:sz="0" w:space="0" w:color="auto"/>
          </w:divBdr>
          <w:divsChild>
            <w:div w:id="766661691">
              <w:marLeft w:val="0"/>
              <w:marRight w:val="0"/>
              <w:marTop w:val="0"/>
              <w:marBottom w:val="0"/>
              <w:divBdr>
                <w:top w:val="none" w:sz="0" w:space="0" w:color="auto"/>
                <w:left w:val="none" w:sz="0" w:space="0" w:color="auto"/>
                <w:bottom w:val="none" w:sz="0" w:space="0" w:color="auto"/>
                <w:right w:val="none" w:sz="0" w:space="0" w:color="auto"/>
              </w:divBdr>
            </w:div>
          </w:divsChild>
        </w:div>
        <w:div w:id="766661709">
          <w:marLeft w:val="0"/>
          <w:marRight w:val="0"/>
          <w:marTop w:val="0"/>
          <w:marBottom w:val="90"/>
          <w:divBdr>
            <w:top w:val="none" w:sz="0" w:space="0" w:color="auto"/>
            <w:left w:val="none" w:sz="0" w:space="0" w:color="auto"/>
            <w:bottom w:val="none" w:sz="0" w:space="0" w:color="auto"/>
            <w:right w:val="none" w:sz="0" w:space="0" w:color="auto"/>
          </w:divBdr>
          <w:divsChild>
            <w:div w:id="766661703">
              <w:marLeft w:val="0"/>
              <w:marRight w:val="0"/>
              <w:marTop w:val="0"/>
              <w:marBottom w:val="0"/>
              <w:divBdr>
                <w:top w:val="none" w:sz="0" w:space="0" w:color="auto"/>
                <w:left w:val="none" w:sz="0" w:space="0" w:color="auto"/>
                <w:bottom w:val="none" w:sz="0" w:space="0" w:color="auto"/>
                <w:right w:val="none" w:sz="0" w:space="0" w:color="auto"/>
              </w:divBdr>
              <w:divsChild>
                <w:div w:id="766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61702">
      <w:marLeft w:val="0"/>
      <w:marRight w:val="0"/>
      <w:marTop w:val="0"/>
      <w:marBottom w:val="0"/>
      <w:divBdr>
        <w:top w:val="none" w:sz="0" w:space="0" w:color="auto"/>
        <w:left w:val="none" w:sz="0" w:space="0" w:color="auto"/>
        <w:bottom w:val="none" w:sz="0" w:space="0" w:color="auto"/>
        <w:right w:val="none" w:sz="0" w:space="0" w:color="auto"/>
      </w:divBdr>
    </w:div>
    <w:div w:id="766661704">
      <w:marLeft w:val="0"/>
      <w:marRight w:val="0"/>
      <w:marTop w:val="0"/>
      <w:marBottom w:val="0"/>
      <w:divBdr>
        <w:top w:val="none" w:sz="0" w:space="0" w:color="auto"/>
        <w:left w:val="none" w:sz="0" w:space="0" w:color="auto"/>
        <w:bottom w:val="none" w:sz="0" w:space="0" w:color="auto"/>
        <w:right w:val="none" w:sz="0" w:space="0" w:color="auto"/>
      </w:divBdr>
      <w:divsChild>
        <w:div w:id="766661693">
          <w:marLeft w:val="0"/>
          <w:marRight w:val="0"/>
          <w:marTop w:val="0"/>
          <w:marBottom w:val="75"/>
          <w:divBdr>
            <w:top w:val="none" w:sz="0" w:space="0" w:color="auto"/>
            <w:left w:val="none" w:sz="0" w:space="0" w:color="auto"/>
            <w:bottom w:val="none" w:sz="0" w:space="0" w:color="auto"/>
            <w:right w:val="none" w:sz="0" w:space="0" w:color="auto"/>
          </w:divBdr>
        </w:div>
        <w:div w:id="766661706">
          <w:marLeft w:val="0"/>
          <w:marRight w:val="0"/>
          <w:marTop w:val="0"/>
          <w:marBottom w:val="0"/>
          <w:divBdr>
            <w:top w:val="none" w:sz="0" w:space="0" w:color="auto"/>
            <w:left w:val="none" w:sz="0" w:space="0" w:color="auto"/>
            <w:bottom w:val="none" w:sz="0" w:space="0" w:color="auto"/>
            <w:right w:val="none" w:sz="0" w:space="0" w:color="auto"/>
          </w:divBdr>
        </w:div>
        <w:div w:id="766661707">
          <w:marLeft w:val="0"/>
          <w:marRight w:val="0"/>
          <w:marTop w:val="60"/>
          <w:marBottom w:val="0"/>
          <w:divBdr>
            <w:top w:val="none" w:sz="0" w:space="0" w:color="auto"/>
            <w:left w:val="none" w:sz="0" w:space="0" w:color="auto"/>
            <w:bottom w:val="none" w:sz="0" w:space="0" w:color="auto"/>
            <w:right w:val="none" w:sz="0" w:space="0" w:color="auto"/>
          </w:divBdr>
        </w:div>
      </w:divsChild>
    </w:div>
    <w:div w:id="766661705">
      <w:marLeft w:val="0"/>
      <w:marRight w:val="0"/>
      <w:marTop w:val="0"/>
      <w:marBottom w:val="0"/>
      <w:divBdr>
        <w:top w:val="none" w:sz="0" w:space="0" w:color="auto"/>
        <w:left w:val="none" w:sz="0" w:space="0" w:color="auto"/>
        <w:bottom w:val="none" w:sz="0" w:space="0" w:color="auto"/>
        <w:right w:val="none" w:sz="0" w:space="0" w:color="auto"/>
      </w:divBdr>
    </w:div>
    <w:div w:id="766661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ub.eur.nl/pub/20798/" TargetMode="External"/><Relationship Id="rId13" Type="http://schemas.openxmlformats.org/officeDocument/2006/relationships/hyperlink" Target="http://dsu.eia.nl/publications/advisory-reports/7196" TargetMode="External"/><Relationship Id="rId18" Type="http://schemas.openxmlformats.org/officeDocument/2006/relationships/hyperlink" Target="http://dsu.eia.nl/publications/advisory-reports/7196" TargetMode="External"/><Relationship Id="rId26" Type="http://schemas.openxmlformats.org/officeDocument/2006/relationships/hyperlink" Target="http://www.quantumglobalgroup.com/sites/default/files/QGRL%20Working%20Paper%202016-1%20Wakeford%20et%20al_LM_5.pdf" TargetMode="External"/><Relationship Id="rId3" Type="http://schemas.openxmlformats.org/officeDocument/2006/relationships/settings" Target="settings.xml"/><Relationship Id="rId21" Type="http://schemas.openxmlformats.org/officeDocument/2006/relationships/hyperlink" Target="http://repub.eur.nl/pub/20798/" TargetMode="External"/><Relationship Id="rId7" Type="http://schemas.openxmlformats.org/officeDocument/2006/relationships/hyperlink" Target="http://www.quantumglobalgroup.com/sites/default/files/QGRL%20Working%20Paper%202016-1%20Wakeford%20et%20al_LM_5.pdf" TargetMode="External"/><Relationship Id="rId12" Type="http://schemas.openxmlformats.org/officeDocument/2006/relationships/hyperlink" Target="https://ec.europa.eu/europeaid/sites/devco/files/mainstreaming-guidelines-2016_en.pdf" TargetMode="External"/><Relationship Id="rId17" Type="http://schemas.openxmlformats.org/officeDocument/2006/relationships/hyperlink" Target="http://api.commissiemer.nl/docs/os/i71/i7199/7199_advice_on_better_decision-making_about_large_dams.pdf" TargetMode="External"/><Relationship Id="rId25" Type="http://schemas.openxmlformats.org/officeDocument/2006/relationships/hyperlink" Target="http://www.tandfonline.com/doi/full/10.1080/09640568.2016.1168288?scroll=top&amp;needAccess=true" TargetMode="External"/><Relationship Id="rId2" Type="http://schemas.openxmlformats.org/officeDocument/2006/relationships/styles" Target="styles.xml"/><Relationship Id="rId16" Type="http://schemas.openxmlformats.org/officeDocument/2006/relationships/hyperlink" Target="https://www.international-climate-initiative.com/en/news/article/launch_of_the_nap_process_in_mali/" TargetMode="External"/><Relationship Id="rId20" Type="http://schemas.openxmlformats.org/officeDocument/2006/relationships/hyperlink" Target="https://www.international-climate-initiative.com/en/news/article/launch_of_the_nap_process_in_ma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nclimate.fund/documents/20182/319135/Readiness_Program_Overview.pdf/331e4062-0da0-40b6-bb76-2d2c22aaa53e" TargetMode="External"/><Relationship Id="rId24" Type="http://schemas.openxmlformats.org/officeDocument/2006/relationships/hyperlink" Target="http://www.oecd.org/dac/environment-development/Revised%20climate%20marker%20handbook_FINAL.pdf" TargetMode="External"/><Relationship Id="rId5" Type="http://schemas.openxmlformats.org/officeDocument/2006/relationships/footnotes" Target="footnotes.xml"/><Relationship Id="rId15" Type="http://schemas.openxmlformats.org/officeDocument/2006/relationships/hyperlink" Target="http://iaia.org/" TargetMode="External"/><Relationship Id="rId23" Type="http://schemas.openxmlformats.org/officeDocument/2006/relationships/hyperlink" Target="http://www.tandfonline.com/doi/abs/10.1080/13662716.2016.1146124" TargetMode="External"/><Relationship Id="rId28" Type="http://schemas.openxmlformats.org/officeDocument/2006/relationships/theme" Target="theme/theme1.xml"/><Relationship Id="rId10" Type="http://schemas.openxmlformats.org/officeDocument/2006/relationships/hyperlink" Target="http://dsu.eia.nl/publications/advisory-reports/7199" TargetMode="External"/><Relationship Id="rId19" Type="http://schemas.openxmlformats.org/officeDocument/2006/relationships/hyperlink" Target="https://ec.europa.eu/europeaid/sites/devco/files/mainstreaming-guidelines-2016_en.pdf" TargetMode="External"/><Relationship Id="rId4" Type="http://schemas.openxmlformats.org/officeDocument/2006/relationships/webSettings" Target="webSettings.xml"/><Relationship Id="rId9" Type="http://schemas.openxmlformats.org/officeDocument/2006/relationships/hyperlink" Target="http://www.tandfonline.com/doi/abs/10.1080/13662716.2016.1146124" TargetMode="External"/><Relationship Id="rId14" Type="http://schemas.openxmlformats.org/officeDocument/2006/relationships/hyperlink" Target="http://www.oecd.org/development/stats/rioconventions.htm" TargetMode="External"/><Relationship Id="rId22" Type="http://schemas.openxmlformats.org/officeDocument/2006/relationships/hyperlink" Target="http://www.tandfonline.com/doi/abs/10.1080/09640568.2014.89197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2471</Words>
  <Characters>14089</Characters>
  <Application>Microsoft Office Outlook</Application>
  <DocSecurity>0</DocSecurity>
  <Lines>0</Lines>
  <Paragraphs>0</Paragraphs>
  <ScaleCrop>false</ScaleCrop>
  <Company>Ministerie van Buitenlandse Zaken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 BE PRESENTED AT THE ANNUAL MEETING OF THE INTERNATIONAL ASSSOCIATION FOR IMPACT ASSESSMENT, APRIL 2017, MONTREAL</dc:title>
  <dc:subject/>
  <cp:keywords/>
  <dc:description/>
  <cp:lastModifiedBy>temp</cp:lastModifiedBy>
  <cp:revision>2</cp:revision>
  <dcterms:created xsi:type="dcterms:W3CDTF">2017-02-14T16:36:00Z</dcterms:created>
  <dcterms:modified xsi:type="dcterms:W3CDTF">2017-02-14T16:36:00Z</dcterms:modified>
</cp:coreProperties>
</file>